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23A78">
      <w:pPr>
        <w:keepNext w:val="0"/>
        <w:keepLines w:val="0"/>
        <w:pageBreakBefore w:val="0"/>
        <w:widowControl w:val="0"/>
        <w:wordWrap/>
        <w:overflowPunct/>
        <w:topLinePunct w:val="0"/>
        <w:autoSpaceDE w:val="0"/>
        <w:autoSpaceDN w:val="0"/>
        <w:bidi w:val="0"/>
        <w:adjustRightInd w:val="0"/>
        <w:snapToGrid w:val="0"/>
        <w:jc w:val="left"/>
        <w:textAlignment w:val="baseline"/>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附件2：</w:t>
      </w:r>
    </w:p>
    <w:p w14:paraId="2C4E8359">
      <w:pPr>
        <w:keepNext w:val="0"/>
        <w:keepLines w:val="0"/>
        <w:pageBreakBefore w:val="0"/>
        <w:widowControl w:val="0"/>
        <w:wordWrap/>
        <w:overflowPunct/>
        <w:topLinePunct w:val="0"/>
        <w:autoSpaceDE w:val="0"/>
        <w:autoSpaceDN w:val="0"/>
        <w:bidi w:val="0"/>
        <w:adjustRightInd w:val="0"/>
        <w:snapToGrid w:val="0"/>
        <w:jc w:val="center"/>
        <w:textAlignment w:val="baseline"/>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 xml:space="preserve"> </w:t>
      </w:r>
    </w:p>
    <w:p w14:paraId="23900673">
      <w:pPr>
        <w:keepNext w:val="0"/>
        <w:keepLines w:val="0"/>
        <w:pageBreakBefore w:val="0"/>
        <w:widowControl w:val="0"/>
        <w:wordWrap/>
        <w:overflowPunct/>
        <w:topLinePunct w:val="0"/>
        <w:autoSpaceDE w:val="0"/>
        <w:autoSpaceDN w:val="0"/>
        <w:bidi w:val="0"/>
        <w:adjustRightInd w:val="0"/>
        <w:snapToGrid w:val="0"/>
        <w:jc w:val="center"/>
        <w:textAlignment w:val="baseline"/>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消防安全重点单位申报表</w:t>
      </w:r>
    </w:p>
    <w:tbl>
      <w:tblPr>
        <w:tblStyle w:val="5"/>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2220"/>
        <w:gridCol w:w="349"/>
        <w:gridCol w:w="1211"/>
        <w:gridCol w:w="1185"/>
        <w:gridCol w:w="1560"/>
        <w:gridCol w:w="1305"/>
        <w:gridCol w:w="2127"/>
      </w:tblGrid>
      <w:tr w14:paraId="2F33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2694" w:type="dxa"/>
            <w:gridSpan w:val="2"/>
            <w:tcBorders>
              <w:top w:val="single" w:color="auto" w:sz="12" w:space="0"/>
              <w:left w:val="single" w:color="auto" w:sz="12" w:space="0"/>
            </w:tcBorders>
            <w:noWrap w:val="0"/>
            <w:vAlign w:val="center"/>
          </w:tcPr>
          <w:p w14:paraId="05D1B9F3">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单位名称</w:t>
            </w:r>
          </w:p>
        </w:tc>
        <w:tc>
          <w:tcPr>
            <w:tcW w:w="4305" w:type="dxa"/>
            <w:gridSpan w:val="4"/>
            <w:tcBorders>
              <w:top w:val="single" w:color="auto" w:sz="12" w:space="0"/>
            </w:tcBorders>
            <w:noWrap w:val="0"/>
            <w:vAlign w:val="center"/>
          </w:tcPr>
          <w:p w14:paraId="6A5161EB">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p>
        </w:tc>
        <w:tc>
          <w:tcPr>
            <w:tcW w:w="1305" w:type="dxa"/>
            <w:tcBorders>
              <w:top w:val="single" w:color="auto" w:sz="12" w:space="0"/>
            </w:tcBorders>
            <w:noWrap w:val="0"/>
            <w:vAlign w:val="center"/>
          </w:tcPr>
          <w:p w14:paraId="02B02D13">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使用性质</w:t>
            </w:r>
          </w:p>
        </w:tc>
        <w:tc>
          <w:tcPr>
            <w:tcW w:w="2127" w:type="dxa"/>
            <w:tcBorders>
              <w:top w:val="single" w:color="auto" w:sz="12" w:space="0"/>
              <w:right w:val="single" w:color="auto" w:sz="12" w:space="0"/>
            </w:tcBorders>
            <w:noWrap w:val="0"/>
            <w:vAlign w:val="center"/>
          </w:tcPr>
          <w:p w14:paraId="6053BB92">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p>
        </w:tc>
      </w:tr>
      <w:tr w14:paraId="02CA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4" w:type="dxa"/>
            <w:gridSpan w:val="2"/>
            <w:tcBorders>
              <w:left w:val="single" w:color="auto" w:sz="12" w:space="0"/>
            </w:tcBorders>
            <w:noWrap w:val="0"/>
            <w:vAlign w:val="center"/>
          </w:tcPr>
          <w:p w14:paraId="206F2A72">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单位地址</w:t>
            </w:r>
          </w:p>
        </w:tc>
        <w:tc>
          <w:tcPr>
            <w:tcW w:w="4305" w:type="dxa"/>
            <w:gridSpan w:val="4"/>
            <w:noWrap w:val="0"/>
            <w:vAlign w:val="center"/>
          </w:tcPr>
          <w:p w14:paraId="79F7C62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Times New Roman" w:hAnsi="Times New Roman" w:eastAsia="楷体" w:cs="Times New Roman"/>
                <w:sz w:val="24"/>
                <w:lang w:val="en-US" w:eastAsia="zh-CN"/>
              </w:rPr>
            </w:pPr>
          </w:p>
        </w:tc>
        <w:tc>
          <w:tcPr>
            <w:tcW w:w="1305" w:type="dxa"/>
            <w:noWrap w:val="0"/>
            <w:vAlign w:val="center"/>
          </w:tcPr>
          <w:p w14:paraId="0388EE03">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上级归口管理部门</w:t>
            </w:r>
          </w:p>
        </w:tc>
        <w:tc>
          <w:tcPr>
            <w:tcW w:w="2127" w:type="dxa"/>
            <w:tcBorders>
              <w:right w:val="single" w:color="auto" w:sz="12" w:space="0"/>
            </w:tcBorders>
            <w:noWrap w:val="0"/>
            <w:vAlign w:val="center"/>
          </w:tcPr>
          <w:p w14:paraId="02DFEDA9">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p>
        </w:tc>
      </w:tr>
      <w:tr w14:paraId="5A2B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4" w:type="dxa"/>
            <w:gridSpan w:val="2"/>
            <w:tcBorders>
              <w:left w:val="single" w:color="auto" w:sz="12" w:space="0"/>
            </w:tcBorders>
            <w:shd w:val="clear"/>
            <w:noWrap w:val="0"/>
            <w:vAlign w:val="center"/>
          </w:tcPr>
          <w:p w14:paraId="2F055AB5">
            <w:pPr>
              <w:pStyle w:val="7"/>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val="en-US" w:eastAsia="zh-CN"/>
              </w:rPr>
              <w:t>统一社会信用代码</w:t>
            </w:r>
          </w:p>
        </w:tc>
        <w:tc>
          <w:tcPr>
            <w:tcW w:w="4305" w:type="dxa"/>
            <w:gridSpan w:val="4"/>
            <w:shd w:val="clear"/>
            <w:noWrap w:val="0"/>
            <w:vAlign w:val="center"/>
          </w:tcPr>
          <w:p w14:paraId="60D8F0E2">
            <w:pPr>
              <w:pStyle w:val="7"/>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rPr>
                <w:rFonts w:hint="eastAsia" w:ascii="Times New Roman" w:hAnsi="Times New Roman" w:eastAsia="楷体" w:cs="Times New Roman"/>
                <w:snapToGrid w:val="0"/>
                <w:color w:val="000000"/>
                <w:kern w:val="0"/>
                <w:sz w:val="24"/>
                <w:szCs w:val="21"/>
                <w:lang w:val="en-US" w:eastAsia="en-US" w:bidi="ar-SA"/>
              </w:rPr>
            </w:pPr>
          </w:p>
        </w:tc>
        <w:tc>
          <w:tcPr>
            <w:tcW w:w="1305" w:type="dxa"/>
            <w:shd w:val="clear" w:color="auto" w:fill="auto"/>
            <w:noWrap w:val="0"/>
            <w:vAlign w:val="center"/>
          </w:tcPr>
          <w:p w14:paraId="6C5BF315">
            <w:pPr>
              <w:pStyle w:val="7"/>
              <w:keepNext w:val="0"/>
              <w:keepLines w:val="0"/>
              <w:pageBreakBefore w:val="0"/>
              <w:widowControl w:val="0"/>
              <w:kinsoku/>
              <w:wordWrap/>
              <w:overflowPunct/>
              <w:topLinePunct w:val="0"/>
              <w:autoSpaceDE w:val="0"/>
              <w:autoSpaceDN w:val="0"/>
              <w:bidi w:val="0"/>
              <w:adjustRightInd w:val="0"/>
              <w:snapToGrid w:val="0"/>
              <w:spacing w:line="240" w:lineRule="exact"/>
              <w:ind w:left="0" w:right="0"/>
              <w:jc w:val="center"/>
              <w:textAlignment w:val="baseline"/>
              <w:rPr>
                <w:rFonts w:hint="eastAsia" w:ascii="Times New Roman" w:hAnsi="Times New Roman" w:eastAsia="楷体" w:cs="Times New Roman"/>
                <w:snapToGrid w:val="0"/>
                <w:color w:val="000000"/>
                <w:kern w:val="0"/>
                <w:sz w:val="24"/>
                <w:szCs w:val="21"/>
                <w:lang w:val="en-US" w:eastAsia="zh-CN" w:bidi="ar-SA"/>
              </w:rPr>
            </w:pPr>
            <w:r>
              <w:rPr>
                <w:rFonts w:hint="eastAsia" w:ascii="Times New Roman" w:hAnsi="Times New Roman" w:eastAsia="楷体" w:cs="Times New Roman"/>
                <w:snapToGrid w:val="0"/>
                <w:color w:val="000000"/>
                <w:kern w:val="0"/>
                <w:sz w:val="24"/>
                <w:szCs w:val="21"/>
                <w:lang w:val="en-US" w:eastAsia="zh-CN" w:bidi="ar-SA"/>
              </w:rPr>
              <w:t>有无自动</w:t>
            </w:r>
          </w:p>
          <w:p w14:paraId="3052F455">
            <w:pPr>
              <w:pStyle w:val="7"/>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napToGrid w:val="0"/>
                <w:color w:val="000000"/>
                <w:kern w:val="0"/>
                <w:sz w:val="24"/>
                <w:szCs w:val="21"/>
                <w:lang w:val="en-US" w:eastAsia="zh-CN" w:bidi="ar-SA"/>
              </w:rPr>
              <w:t>消防设施</w:t>
            </w:r>
          </w:p>
        </w:tc>
        <w:tc>
          <w:tcPr>
            <w:tcW w:w="2127" w:type="dxa"/>
            <w:tcBorders>
              <w:right w:val="single" w:color="auto" w:sz="12" w:space="0"/>
            </w:tcBorders>
            <w:shd w:val="clear" w:color="auto" w:fill="auto"/>
            <w:noWrap w:val="0"/>
            <w:vAlign w:val="center"/>
          </w:tcPr>
          <w:p w14:paraId="2E1A3D74">
            <w:pPr>
              <w:pStyle w:val="7"/>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napToGrid w:val="0"/>
                <w:color w:val="000000"/>
                <w:kern w:val="0"/>
                <w:sz w:val="24"/>
                <w:szCs w:val="21"/>
                <w:lang w:val="en-US" w:eastAsia="zh-CN" w:bidi="ar-SA"/>
              </w:rPr>
              <w:t>□有  □无</w:t>
            </w:r>
          </w:p>
        </w:tc>
      </w:tr>
      <w:tr w14:paraId="182B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694" w:type="dxa"/>
            <w:gridSpan w:val="2"/>
            <w:tcBorders>
              <w:left w:val="single" w:color="auto" w:sz="12" w:space="0"/>
            </w:tcBorders>
            <w:shd w:val="clear" w:color="auto" w:fill="auto"/>
            <w:noWrap w:val="0"/>
            <w:vAlign w:val="center"/>
          </w:tcPr>
          <w:p w14:paraId="0B6C6307">
            <w:pPr>
              <w:pStyle w:val="7"/>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rPr>
                <w:rFonts w:hint="eastAsia"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建筑面积</w:t>
            </w:r>
          </w:p>
          <w:p w14:paraId="26D49799">
            <w:pPr>
              <w:pStyle w:val="7"/>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val="en-US" w:eastAsia="zh-CN"/>
              </w:rPr>
              <w:t>（㎡）</w:t>
            </w:r>
          </w:p>
        </w:tc>
        <w:tc>
          <w:tcPr>
            <w:tcW w:w="1560" w:type="dxa"/>
            <w:gridSpan w:val="2"/>
            <w:shd w:val="clear" w:color="auto" w:fill="auto"/>
            <w:noWrap w:val="0"/>
            <w:vAlign w:val="center"/>
          </w:tcPr>
          <w:p w14:paraId="3E424B90">
            <w:pPr>
              <w:pStyle w:val="7"/>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rPr>
                <w:rFonts w:hint="default" w:ascii="Times New Roman" w:hAnsi="Times New Roman" w:eastAsia="楷体" w:cs="Times New Roman"/>
                <w:snapToGrid w:val="0"/>
                <w:color w:val="000000"/>
                <w:kern w:val="0"/>
                <w:sz w:val="24"/>
                <w:szCs w:val="21"/>
                <w:lang w:val="en-US" w:eastAsia="en-US" w:bidi="ar-SA"/>
              </w:rPr>
            </w:pPr>
          </w:p>
        </w:tc>
        <w:tc>
          <w:tcPr>
            <w:tcW w:w="1185" w:type="dxa"/>
            <w:noWrap w:val="0"/>
            <w:vAlign w:val="center"/>
          </w:tcPr>
          <w:p w14:paraId="77A9E755">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占地面积</w:t>
            </w:r>
            <w:r>
              <w:rPr>
                <w:rFonts w:hint="eastAsia" w:ascii="Times New Roman" w:hAnsi="Times New Roman" w:eastAsia="楷体" w:cs="Times New Roman"/>
                <w:sz w:val="24"/>
                <w:lang w:val="en-US" w:eastAsia="zh-CN"/>
              </w:rPr>
              <w:t>（㎡）</w:t>
            </w:r>
          </w:p>
        </w:tc>
        <w:tc>
          <w:tcPr>
            <w:tcW w:w="1560" w:type="dxa"/>
            <w:noWrap w:val="0"/>
            <w:vAlign w:val="center"/>
          </w:tcPr>
          <w:p w14:paraId="60883CAC">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p>
        </w:tc>
        <w:tc>
          <w:tcPr>
            <w:tcW w:w="1305" w:type="dxa"/>
            <w:noWrap w:val="0"/>
            <w:vAlign w:val="center"/>
          </w:tcPr>
          <w:p w14:paraId="3E7C80C0">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建筑高度</w:t>
            </w:r>
          </w:p>
        </w:tc>
        <w:tc>
          <w:tcPr>
            <w:tcW w:w="2127" w:type="dxa"/>
            <w:tcBorders>
              <w:right w:val="single" w:color="auto" w:sz="12" w:space="0"/>
            </w:tcBorders>
            <w:noWrap w:val="0"/>
            <w:vAlign w:val="center"/>
          </w:tcPr>
          <w:p w14:paraId="09F5FE69">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p>
        </w:tc>
      </w:tr>
      <w:tr w14:paraId="090B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694" w:type="dxa"/>
            <w:gridSpan w:val="2"/>
            <w:tcBorders>
              <w:left w:val="single" w:color="auto" w:sz="12" w:space="0"/>
            </w:tcBorders>
            <w:noWrap w:val="0"/>
            <w:vAlign w:val="center"/>
          </w:tcPr>
          <w:p w14:paraId="74F4F443">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消防安全责任人</w:t>
            </w:r>
          </w:p>
          <w:p w14:paraId="74469A61">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Times New Roman" w:hAnsi="Times New Roman" w:eastAsia="楷体" w:cs="Times New Roman"/>
                <w:sz w:val="24"/>
                <w:lang w:eastAsia="zh-CN"/>
              </w:rPr>
            </w:pPr>
            <w:r>
              <w:rPr>
                <w:rFonts w:hint="eastAsia" w:ascii="Times New Roman" w:hAnsi="Times New Roman" w:eastAsia="楷体" w:cs="Times New Roman"/>
                <w:sz w:val="24"/>
                <w:lang w:eastAsia="zh-CN"/>
              </w:rPr>
              <w:t>（</w:t>
            </w:r>
            <w:r>
              <w:rPr>
                <w:rFonts w:hint="eastAsia" w:ascii="Times New Roman" w:hAnsi="Times New Roman" w:eastAsia="楷体" w:cs="Times New Roman"/>
                <w:sz w:val="24"/>
                <w:lang w:val="en-US" w:eastAsia="zh-CN"/>
              </w:rPr>
              <w:t>法人</w:t>
            </w:r>
            <w:r>
              <w:rPr>
                <w:rFonts w:hint="eastAsia" w:ascii="Times New Roman" w:hAnsi="Times New Roman" w:eastAsia="楷体" w:cs="Times New Roman"/>
                <w:sz w:val="24"/>
                <w:lang w:eastAsia="zh-CN"/>
              </w:rPr>
              <w:t>）</w:t>
            </w:r>
          </w:p>
        </w:tc>
        <w:tc>
          <w:tcPr>
            <w:tcW w:w="1560" w:type="dxa"/>
            <w:gridSpan w:val="2"/>
            <w:noWrap w:val="0"/>
            <w:vAlign w:val="center"/>
          </w:tcPr>
          <w:p w14:paraId="426411A6">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p>
        </w:tc>
        <w:tc>
          <w:tcPr>
            <w:tcW w:w="1185" w:type="dxa"/>
            <w:noWrap w:val="0"/>
            <w:vAlign w:val="center"/>
          </w:tcPr>
          <w:p w14:paraId="3A7AAA1E">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职</w:t>
            </w:r>
            <w:r>
              <w:rPr>
                <w:rFonts w:hint="eastAsia" w:ascii="Times New Roman" w:hAnsi="Times New Roman" w:eastAsia="楷体" w:cs="Times New Roman"/>
                <w:sz w:val="24"/>
                <w:lang w:val="en-US" w:eastAsia="zh-CN"/>
              </w:rPr>
              <w:t xml:space="preserve"> </w:t>
            </w:r>
            <w:r>
              <w:rPr>
                <w:rFonts w:hint="default" w:ascii="Times New Roman" w:hAnsi="Times New Roman" w:eastAsia="楷体" w:cs="Times New Roman"/>
                <w:sz w:val="24"/>
              </w:rPr>
              <w:t>务</w:t>
            </w:r>
          </w:p>
        </w:tc>
        <w:tc>
          <w:tcPr>
            <w:tcW w:w="1560" w:type="dxa"/>
            <w:noWrap w:val="0"/>
            <w:vAlign w:val="center"/>
          </w:tcPr>
          <w:p w14:paraId="71B826E7">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p>
        </w:tc>
        <w:tc>
          <w:tcPr>
            <w:tcW w:w="1305" w:type="dxa"/>
            <w:noWrap w:val="0"/>
            <w:vAlign w:val="center"/>
          </w:tcPr>
          <w:p w14:paraId="3EBEFF97">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联系电话</w:t>
            </w:r>
          </w:p>
        </w:tc>
        <w:tc>
          <w:tcPr>
            <w:tcW w:w="2127" w:type="dxa"/>
            <w:tcBorders>
              <w:right w:val="single" w:color="auto" w:sz="12" w:space="0"/>
            </w:tcBorders>
            <w:noWrap w:val="0"/>
            <w:vAlign w:val="center"/>
          </w:tcPr>
          <w:p w14:paraId="514E040D">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p>
        </w:tc>
      </w:tr>
      <w:tr w14:paraId="5A83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694" w:type="dxa"/>
            <w:gridSpan w:val="2"/>
            <w:tcBorders>
              <w:left w:val="single" w:color="auto" w:sz="12" w:space="0"/>
            </w:tcBorders>
            <w:noWrap w:val="0"/>
            <w:vAlign w:val="center"/>
          </w:tcPr>
          <w:p w14:paraId="2C66E86C">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消防安全管理人</w:t>
            </w:r>
          </w:p>
        </w:tc>
        <w:tc>
          <w:tcPr>
            <w:tcW w:w="1560" w:type="dxa"/>
            <w:gridSpan w:val="2"/>
            <w:noWrap w:val="0"/>
            <w:vAlign w:val="center"/>
          </w:tcPr>
          <w:p w14:paraId="575566E1">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p>
        </w:tc>
        <w:tc>
          <w:tcPr>
            <w:tcW w:w="1185" w:type="dxa"/>
            <w:noWrap w:val="0"/>
            <w:vAlign w:val="center"/>
          </w:tcPr>
          <w:p w14:paraId="58DCAA4A">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职</w:t>
            </w:r>
            <w:r>
              <w:rPr>
                <w:rFonts w:hint="eastAsia" w:ascii="Times New Roman" w:hAnsi="Times New Roman" w:eastAsia="楷体" w:cs="Times New Roman"/>
                <w:sz w:val="24"/>
                <w:lang w:val="en-US" w:eastAsia="zh-CN"/>
              </w:rPr>
              <w:t xml:space="preserve"> </w:t>
            </w:r>
            <w:r>
              <w:rPr>
                <w:rFonts w:hint="default" w:ascii="Times New Roman" w:hAnsi="Times New Roman" w:eastAsia="楷体" w:cs="Times New Roman"/>
                <w:sz w:val="24"/>
              </w:rPr>
              <w:t>务</w:t>
            </w:r>
          </w:p>
        </w:tc>
        <w:tc>
          <w:tcPr>
            <w:tcW w:w="1560" w:type="dxa"/>
            <w:noWrap w:val="0"/>
            <w:vAlign w:val="center"/>
          </w:tcPr>
          <w:p w14:paraId="6FFD4B7C">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p>
        </w:tc>
        <w:tc>
          <w:tcPr>
            <w:tcW w:w="1305" w:type="dxa"/>
            <w:noWrap w:val="0"/>
            <w:vAlign w:val="center"/>
          </w:tcPr>
          <w:p w14:paraId="0DA8818B">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联系电话</w:t>
            </w:r>
          </w:p>
        </w:tc>
        <w:tc>
          <w:tcPr>
            <w:tcW w:w="2127" w:type="dxa"/>
            <w:tcBorders>
              <w:right w:val="single" w:color="auto" w:sz="12" w:space="0"/>
            </w:tcBorders>
            <w:noWrap w:val="0"/>
            <w:vAlign w:val="center"/>
          </w:tcPr>
          <w:p w14:paraId="399BDE61">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p>
        </w:tc>
      </w:tr>
      <w:tr w14:paraId="45CF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694" w:type="dxa"/>
            <w:gridSpan w:val="2"/>
            <w:tcBorders>
              <w:left w:val="single" w:color="auto" w:sz="12" w:space="0"/>
            </w:tcBorders>
            <w:noWrap w:val="0"/>
            <w:vAlign w:val="center"/>
          </w:tcPr>
          <w:p w14:paraId="3E97A4D6">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消防安全归口</w:t>
            </w:r>
            <w:r>
              <w:rPr>
                <w:rFonts w:hint="default" w:ascii="Times New Roman" w:hAnsi="Times New Roman" w:eastAsia="楷体" w:cs="Times New Roman"/>
                <w:b w:val="0"/>
                <w:bCs w:val="0"/>
                <w:sz w:val="24"/>
              </w:rPr>
              <w:t>管理</w:t>
            </w:r>
            <w:r>
              <w:rPr>
                <w:rFonts w:hint="default" w:ascii="Times New Roman" w:hAnsi="Times New Roman" w:eastAsia="楷体" w:cs="Times New Roman"/>
                <w:sz w:val="24"/>
              </w:rPr>
              <w:t>部门</w:t>
            </w:r>
          </w:p>
        </w:tc>
        <w:tc>
          <w:tcPr>
            <w:tcW w:w="1560" w:type="dxa"/>
            <w:gridSpan w:val="2"/>
            <w:noWrap w:val="0"/>
            <w:vAlign w:val="center"/>
          </w:tcPr>
          <w:p w14:paraId="1D966DC0">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p>
        </w:tc>
        <w:tc>
          <w:tcPr>
            <w:tcW w:w="1185" w:type="dxa"/>
            <w:noWrap w:val="0"/>
            <w:vAlign w:val="center"/>
          </w:tcPr>
          <w:p w14:paraId="6DB6D768">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负责人</w:t>
            </w:r>
          </w:p>
        </w:tc>
        <w:tc>
          <w:tcPr>
            <w:tcW w:w="1560" w:type="dxa"/>
            <w:noWrap w:val="0"/>
            <w:vAlign w:val="center"/>
          </w:tcPr>
          <w:p w14:paraId="1EE8C401">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p>
        </w:tc>
        <w:tc>
          <w:tcPr>
            <w:tcW w:w="1305" w:type="dxa"/>
            <w:noWrap w:val="0"/>
            <w:vAlign w:val="center"/>
          </w:tcPr>
          <w:p w14:paraId="6FBB85A3">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联系电话</w:t>
            </w:r>
          </w:p>
        </w:tc>
        <w:tc>
          <w:tcPr>
            <w:tcW w:w="2127" w:type="dxa"/>
            <w:tcBorders>
              <w:right w:val="single" w:color="auto" w:sz="12" w:space="0"/>
            </w:tcBorders>
            <w:noWrap w:val="0"/>
            <w:vAlign w:val="center"/>
          </w:tcPr>
          <w:p w14:paraId="2301AB30">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p>
        </w:tc>
      </w:tr>
      <w:tr w14:paraId="2450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431" w:type="dxa"/>
            <w:gridSpan w:val="8"/>
            <w:tcBorders>
              <w:left w:val="single" w:color="auto" w:sz="12" w:space="0"/>
              <w:right w:val="single" w:color="auto" w:sz="12" w:space="0"/>
            </w:tcBorders>
            <w:shd w:val="clear"/>
            <w:noWrap w:val="0"/>
            <w:vAlign w:val="center"/>
          </w:tcPr>
          <w:p w14:paraId="6CA7CB3C">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Times New Roman" w:hAnsi="Times New Roman" w:eastAsia="楷体" w:cs="Times New Roman"/>
                <w:snapToGrid w:val="0"/>
                <w:color w:val="000000"/>
                <w:kern w:val="0"/>
                <w:sz w:val="24"/>
                <w:szCs w:val="21"/>
                <w:lang w:val="en-US" w:eastAsia="zh-CN" w:bidi="ar-SA"/>
              </w:rPr>
            </w:pPr>
            <w:r>
              <w:rPr>
                <w:rFonts w:hint="eastAsia" w:ascii="Times New Roman" w:hAnsi="Times New Roman" w:eastAsia="楷体" w:cs="Times New Roman"/>
                <w:b/>
                <w:bCs/>
                <w:sz w:val="32"/>
                <w:szCs w:val="24"/>
              </w:rPr>
              <w:t>单位使用性质</w:t>
            </w:r>
            <w:r>
              <w:rPr>
                <w:rFonts w:hint="eastAsia" w:ascii="Times New Roman" w:hAnsi="Times New Roman" w:eastAsia="楷体" w:cs="Times New Roman"/>
                <w:b/>
                <w:bCs/>
                <w:sz w:val="32"/>
                <w:szCs w:val="24"/>
                <w:lang w:val="en-US" w:eastAsia="zh-CN"/>
              </w:rPr>
              <w:t>详情（勾选）</w:t>
            </w:r>
          </w:p>
        </w:tc>
      </w:tr>
      <w:tr w14:paraId="39FA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4" w:type="dxa"/>
            <w:vMerge w:val="restart"/>
            <w:tcBorders>
              <w:left w:val="single" w:color="auto" w:sz="12" w:space="0"/>
            </w:tcBorders>
            <w:shd w:val="clear"/>
            <w:noWrap w:val="0"/>
            <w:vAlign w:val="center"/>
          </w:tcPr>
          <w:p w14:paraId="2EBEC8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r>
              <w:rPr>
                <w:rFonts w:hint="default" w:ascii="Times New Roman" w:hAnsi="Times New Roman" w:eastAsia="Arial" w:cs="Times New Roman"/>
                <w:b/>
                <w:bCs/>
                <w:snapToGrid w:val="0"/>
                <w:color w:val="000000"/>
                <w:kern w:val="0"/>
                <w:sz w:val="24"/>
                <w:szCs w:val="21"/>
                <w:lang w:val="en-US" w:eastAsia="en-US" w:bidi="ar-SA"/>
              </w:rPr>
              <w:t>1</w:t>
            </w:r>
          </w:p>
        </w:tc>
        <w:tc>
          <w:tcPr>
            <w:tcW w:w="9957" w:type="dxa"/>
            <w:gridSpan w:val="7"/>
            <w:tcBorders>
              <w:right w:val="single" w:color="auto" w:sz="12" w:space="0"/>
            </w:tcBorders>
            <w:shd w:val="clear"/>
            <w:noWrap w:val="0"/>
            <w:vAlign w:val="center"/>
          </w:tcPr>
          <w:p w14:paraId="0390BEC9">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rPr>
              <w:t>商场（市场）、宾馆（饭店）、体育场（馆）、会堂、公共娱乐场所等公众聚集场所：</w:t>
            </w:r>
          </w:p>
        </w:tc>
      </w:tr>
      <w:tr w14:paraId="0C33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474" w:type="dxa"/>
            <w:vMerge w:val="continue"/>
            <w:tcBorders>
              <w:left w:val="single" w:color="auto" w:sz="12" w:space="0"/>
            </w:tcBorders>
            <w:shd w:val="clear"/>
            <w:noWrap w:val="0"/>
            <w:vAlign w:val="center"/>
          </w:tcPr>
          <w:p w14:paraId="02E2C8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55D67EF8">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eastAsia" w:ascii="Times New Roman" w:hAnsi="Times New Roman" w:eastAsia="楷体" w:cs="Times New Roman"/>
                <w:sz w:val="24"/>
                <w:lang w:eastAsia="zh-CN"/>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val="en-US" w:eastAsia="zh-CN"/>
              </w:rPr>
              <w:t>建筑面积在3000平方米（含本数，下同）以上或经营摊位100个以上的可燃商品的商场；</w:t>
            </w:r>
          </w:p>
          <w:p w14:paraId="11229A8A">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eastAsia"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占地面积超过5000平方米的室内集贸市场、固定摊位数超过200个的室内批发市场</w:t>
            </w:r>
            <w:r>
              <w:rPr>
                <w:rFonts w:hint="eastAsia" w:ascii="Times New Roman" w:hAnsi="Times New Roman" w:eastAsia="楷体" w:cs="Times New Roman"/>
                <w:sz w:val="24"/>
                <w:lang w:val="en-US" w:eastAsia="zh-CN"/>
              </w:rPr>
              <w:t>；</w:t>
            </w:r>
          </w:p>
          <w:p w14:paraId="7DC342E5">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eastAsia"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三星级（或者相当于三星级</w:t>
            </w: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及以上的宾</w:t>
            </w: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旅</w:t>
            </w: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馆或者总床位数超过100张（含本数，下同）普通的旅馆及产妇住宿床位在50张以上的孕婴服务场所</w:t>
            </w:r>
            <w:r>
              <w:rPr>
                <w:rFonts w:hint="eastAsia" w:ascii="Times New Roman" w:hAnsi="Times New Roman" w:eastAsia="楷体" w:cs="Times New Roman"/>
                <w:sz w:val="24"/>
                <w:lang w:val="en-US" w:eastAsia="zh-CN"/>
              </w:rPr>
              <w:t>；</w:t>
            </w:r>
          </w:p>
          <w:p w14:paraId="20D10502">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总建筑面积超过3000平方米</w:t>
            </w:r>
            <w:r>
              <w:rPr>
                <w:rFonts w:hint="eastAsia" w:ascii="Times New Roman" w:hAnsi="Times New Roman" w:eastAsia="楷体" w:cs="Times New Roman"/>
                <w:sz w:val="24"/>
                <w:lang w:val="en-US" w:eastAsia="zh-CN"/>
              </w:rPr>
              <w:t>地对</w:t>
            </w:r>
            <w:r>
              <w:rPr>
                <w:rFonts w:hint="default" w:ascii="Times New Roman" w:hAnsi="Times New Roman" w:eastAsia="楷体" w:cs="Times New Roman"/>
                <w:sz w:val="24"/>
                <w:lang w:val="en-US" w:eastAsia="zh-CN"/>
              </w:rPr>
              <w:t>公众开放的体育场馆、会堂、礼堂；</w:t>
            </w:r>
          </w:p>
          <w:p w14:paraId="0180933B">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建筑面积超过2500平方米的影剧院、放映厅等演出、放映场所；</w:t>
            </w:r>
          </w:p>
          <w:p w14:paraId="01398F42">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建筑面积超过500平方米的歌舞厅、卡拉OK厅等歌舞娱乐场所，具有娱乐功能的夜总会、音乐茶座和餐饮场所</w:t>
            </w:r>
            <w:r>
              <w:rPr>
                <w:rFonts w:hint="eastAsia" w:ascii="Times New Roman" w:hAnsi="Times New Roman" w:eastAsia="楷体" w:cs="Times New Roman"/>
                <w:sz w:val="24"/>
                <w:lang w:val="en-US" w:eastAsia="zh-CN"/>
              </w:rPr>
              <w:t>；</w:t>
            </w:r>
          </w:p>
          <w:p w14:paraId="64EF7A95">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建筑面积超过500平方米的网吧、游艺厅（含电子游艺厅）、棋牌室、桌球房、酒吧和建筑面积超过1000平方米的保龄球馆、旱冰场、健身房、洗浴（含桑拿浴、足浴）、美容美发等游艺、游乐场所和营业性健身、美容、休闲场所；</w:t>
            </w:r>
          </w:p>
          <w:p w14:paraId="3E04B960">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建筑面积超过500平方米的剧本杀、密室逃脱等“新兴娱乐”场所</w:t>
            </w:r>
            <w:r>
              <w:rPr>
                <w:rFonts w:hint="eastAsia" w:ascii="Times New Roman" w:hAnsi="Times New Roman" w:eastAsia="楷体" w:cs="Times New Roman"/>
                <w:sz w:val="24"/>
                <w:lang w:val="en-US" w:eastAsia="zh-CN"/>
              </w:rPr>
              <w:t>。</w:t>
            </w:r>
          </w:p>
        </w:tc>
      </w:tr>
      <w:tr w14:paraId="3851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74" w:type="dxa"/>
            <w:vMerge w:val="restart"/>
            <w:tcBorders>
              <w:left w:val="single" w:color="auto" w:sz="12" w:space="0"/>
            </w:tcBorders>
            <w:shd w:val="clear"/>
            <w:noWrap w:val="0"/>
            <w:vAlign w:val="center"/>
          </w:tcPr>
          <w:p w14:paraId="32F1F04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eastAsia"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2</w:t>
            </w:r>
          </w:p>
        </w:tc>
        <w:tc>
          <w:tcPr>
            <w:tcW w:w="9957" w:type="dxa"/>
            <w:gridSpan w:val="7"/>
            <w:tcBorders>
              <w:right w:val="single" w:color="auto" w:sz="12" w:space="0"/>
            </w:tcBorders>
            <w:shd w:val="clear"/>
            <w:noWrap w:val="0"/>
            <w:vAlign w:val="center"/>
          </w:tcPr>
          <w:p w14:paraId="1040F89B">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rPr>
              <w:t>医院、养老院和寄宿制的学校、托儿所、幼儿园：</w:t>
            </w:r>
          </w:p>
        </w:tc>
      </w:tr>
      <w:tr w14:paraId="0018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74" w:type="dxa"/>
            <w:vMerge w:val="continue"/>
            <w:tcBorders>
              <w:left w:val="single" w:color="auto" w:sz="12" w:space="0"/>
            </w:tcBorders>
            <w:shd w:val="clear"/>
            <w:noWrap w:val="0"/>
            <w:vAlign w:val="center"/>
          </w:tcPr>
          <w:p w14:paraId="068C7AA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7699D4E1">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住院床位在100张以上的医院；</w:t>
            </w:r>
          </w:p>
          <w:p w14:paraId="1D482F64">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老人住宿床位在100张以上的养老院、敬老院等老年人照料设施及福利院等；</w:t>
            </w:r>
          </w:p>
          <w:p w14:paraId="0BA976C6">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eastAsia"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学生住宿床位在300张以上的寄宿制学校</w:t>
            </w:r>
            <w:r>
              <w:rPr>
                <w:rFonts w:hint="eastAsia" w:ascii="Times New Roman" w:hAnsi="Times New Roman" w:eastAsia="楷体" w:cs="Times New Roman"/>
                <w:sz w:val="24"/>
                <w:lang w:val="en-US" w:eastAsia="zh-CN"/>
              </w:rPr>
              <w:t>；</w:t>
            </w:r>
          </w:p>
          <w:p w14:paraId="5959EB0F">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幼儿人数在300人以上的托儿所、幼儿园或者幼儿住宿床位50张以上的托儿所、幼儿园（不含午托）</w:t>
            </w:r>
            <w:r>
              <w:rPr>
                <w:rFonts w:hint="eastAsia" w:ascii="Times New Roman" w:hAnsi="Times New Roman" w:eastAsia="楷体" w:cs="Times New Roman"/>
                <w:sz w:val="24"/>
                <w:lang w:val="en-US" w:eastAsia="zh-CN"/>
              </w:rPr>
              <w:t>。</w:t>
            </w:r>
          </w:p>
        </w:tc>
      </w:tr>
      <w:tr w14:paraId="2014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74" w:type="dxa"/>
            <w:vMerge w:val="restart"/>
            <w:tcBorders>
              <w:left w:val="single" w:color="auto" w:sz="12" w:space="0"/>
            </w:tcBorders>
            <w:shd w:val="clear"/>
            <w:noWrap w:val="0"/>
            <w:vAlign w:val="center"/>
          </w:tcPr>
          <w:p w14:paraId="06B946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3</w:t>
            </w:r>
          </w:p>
        </w:tc>
        <w:tc>
          <w:tcPr>
            <w:tcW w:w="9957" w:type="dxa"/>
            <w:gridSpan w:val="7"/>
            <w:tcBorders>
              <w:right w:val="single" w:color="auto" w:sz="12" w:space="0"/>
            </w:tcBorders>
            <w:shd w:val="clear"/>
            <w:noWrap w:val="0"/>
            <w:vAlign w:val="center"/>
          </w:tcPr>
          <w:p w14:paraId="28C52995">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rPr>
              <w:t>国家机关</w:t>
            </w:r>
            <w:r>
              <w:rPr>
                <w:rFonts w:hint="default" w:ascii="Times New Roman" w:hAnsi="Times New Roman" w:eastAsia="楷体" w:cs="Times New Roman"/>
                <w:b/>
                <w:bCs/>
                <w:sz w:val="24"/>
                <w:lang w:eastAsia="zh-CN"/>
              </w:rPr>
              <w:t>：</w:t>
            </w:r>
          </w:p>
        </w:tc>
      </w:tr>
      <w:tr w14:paraId="4876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4" w:type="dxa"/>
            <w:vMerge w:val="continue"/>
            <w:tcBorders>
              <w:left w:val="single" w:color="auto" w:sz="12" w:space="0"/>
            </w:tcBorders>
            <w:shd w:val="clear"/>
            <w:noWrap w:val="0"/>
            <w:vAlign w:val="center"/>
          </w:tcPr>
          <w:p w14:paraId="1C1392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08060074">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县级以上的党委、人大、政府、政协机关；</w:t>
            </w:r>
          </w:p>
          <w:p w14:paraId="7C0E60A7">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县级以上的人民检察院、人民法院。</w:t>
            </w:r>
          </w:p>
        </w:tc>
      </w:tr>
      <w:tr w14:paraId="351C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4" w:type="dxa"/>
            <w:vMerge w:val="restart"/>
            <w:tcBorders>
              <w:left w:val="single" w:color="auto" w:sz="12" w:space="0"/>
            </w:tcBorders>
            <w:shd w:val="clear"/>
            <w:noWrap w:val="0"/>
            <w:vAlign w:val="center"/>
          </w:tcPr>
          <w:p w14:paraId="3F9680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eastAsia"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4</w:t>
            </w:r>
          </w:p>
        </w:tc>
        <w:tc>
          <w:tcPr>
            <w:tcW w:w="9957" w:type="dxa"/>
            <w:gridSpan w:val="7"/>
            <w:tcBorders>
              <w:right w:val="single" w:color="auto" w:sz="12" w:space="0"/>
            </w:tcBorders>
            <w:shd w:val="clear"/>
            <w:noWrap w:val="0"/>
            <w:vAlign w:val="center"/>
          </w:tcPr>
          <w:p w14:paraId="0F72CE93">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rPr>
              <w:t>广播、电视和邮政、通信枢纽</w:t>
            </w:r>
            <w:r>
              <w:rPr>
                <w:rFonts w:hint="default" w:ascii="Times New Roman" w:hAnsi="Times New Roman" w:eastAsia="楷体" w:cs="Times New Roman"/>
                <w:b/>
                <w:bCs/>
                <w:sz w:val="24"/>
                <w:lang w:eastAsia="zh-CN"/>
              </w:rPr>
              <w:t>：</w:t>
            </w:r>
          </w:p>
        </w:tc>
      </w:tr>
      <w:tr w14:paraId="2A1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74" w:type="dxa"/>
            <w:vMerge w:val="continue"/>
            <w:tcBorders>
              <w:left w:val="single" w:color="auto" w:sz="12" w:space="0"/>
            </w:tcBorders>
            <w:shd w:val="clear"/>
            <w:noWrap w:val="0"/>
            <w:vAlign w:val="center"/>
          </w:tcPr>
          <w:p w14:paraId="0FDE25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287F896C">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县级以上城镇的邮政、通信枢纽单位、广播电视台。</w:t>
            </w:r>
          </w:p>
        </w:tc>
      </w:tr>
      <w:tr w14:paraId="63E4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12" w:space="0"/>
            </w:tcBorders>
            <w:shd w:val="clear"/>
            <w:noWrap w:val="0"/>
            <w:vAlign w:val="center"/>
          </w:tcPr>
          <w:p w14:paraId="09F113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eastAsia"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5</w:t>
            </w:r>
          </w:p>
        </w:tc>
        <w:tc>
          <w:tcPr>
            <w:tcW w:w="9957" w:type="dxa"/>
            <w:gridSpan w:val="7"/>
            <w:tcBorders>
              <w:right w:val="single" w:color="auto" w:sz="12" w:space="0"/>
            </w:tcBorders>
            <w:shd w:val="clear"/>
            <w:noWrap w:val="0"/>
            <w:vAlign w:val="center"/>
          </w:tcPr>
          <w:p w14:paraId="4FC3C4CB">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rPr>
              <w:t>客运车站、民用机场</w:t>
            </w:r>
            <w:r>
              <w:rPr>
                <w:rFonts w:hint="default" w:ascii="Times New Roman" w:hAnsi="Times New Roman" w:eastAsia="楷体" w:cs="Times New Roman"/>
                <w:b/>
                <w:bCs/>
                <w:sz w:val="24"/>
                <w:lang w:eastAsia="zh-CN"/>
              </w:rPr>
              <w:t>：</w:t>
            </w:r>
          </w:p>
        </w:tc>
      </w:tr>
      <w:tr w14:paraId="4735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74" w:type="dxa"/>
            <w:vMerge w:val="continue"/>
            <w:tcBorders>
              <w:left w:val="single" w:color="auto" w:sz="12" w:space="0"/>
            </w:tcBorders>
            <w:shd w:val="clear"/>
            <w:noWrap w:val="0"/>
            <w:vAlign w:val="center"/>
          </w:tcPr>
          <w:p w14:paraId="125F8C2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037D9AA2">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val="en-US" w:eastAsia="zh-CN"/>
              </w:rPr>
              <w:t>建筑面积超过3000平方米的客运车站候车室</w:t>
            </w:r>
            <w:r>
              <w:rPr>
                <w:rFonts w:hint="default" w:ascii="Times New Roman" w:hAnsi="Times New Roman" w:eastAsia="楷体" w:cs="Times New Roman"/>
                <w:sz w:val="24"/>
              </w:rPr>
              <w:t>；</w:t>
            </w:r>
          </w:p>
          <w:p w14:paraId="4FDFE2D3">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val="en-US" w:eastAsia="zh-CN"/>
              </w:rPr>
              <w:t>民用机场航站楼</w:t>
            </w:r>
            <w:r>
              <w:rPr>
                <w:rFonts w:hint="eastAsia" w:ascii="Times New Roman" w:hAnsi="Times New Roman" w:eastAsia="楷体" w:cs="Times New Roman"/>
                <w:sz w:val="24"/>
                <w:lang w:val="en-US" w:eastAsia="zh-CN"/>
              </w:rPr>
              <w:t>。</w:t>
            </w:r>
          </w:p>
        </w:tc>
      </w:tr>
      <w:tr w14:paraId="32F6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4" w:type="dxa"/>
            <w:vMerge w:val="restart"/>
            <w:tcBorders>
              <w:left w:val="single" w:color="auto" w:sz="12" w:space="0"/>
            </w:tcBorders>
            <w:shd w:val="clear"/>
            <w:noWrap w:val="0"/>
            <w:vAlign w:val="center"/>
          </w:tcPr>
          <w:p w14:paraId="54B2A2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eastAsia"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6</w:t>
            </w:r>
          </w:p>
        </w:tc>
        <w:tc>
          <w:tcPr>
            <w:tcW w:w="9957" w:type="dxa"/>
            <w:gridSpan w:val="7"/>
            <w:tcBorders>
              <w:right w:val="single" w:color="auto" w:sz="12" w:space="0"/>
            </w:tcBorders>
            <w:shd w:val="clear"/>
            <w:noWrap w:val="0"/>
            <w:vAlign w:val="center"/>
          </w:tcPr>
          <w:p w14:paraId="17E5D4CD">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rPr>
              <w:t>公共图书馆、展览馆、博物馆、档案馆以及具有火灾危险性的文物保护单位</w:t>
            </w:r>
            <w:r>
              <w:rPr>
                <w:rFonts w:hint="default" w:ascii="Times New Roman" w:hAnsi="Times New Roman" w:eastAsia="楷体" w:cs="Times New Roman"/>
                <w:b/>
                <w:bCs/>
                <w:sz w:val="24"/>
                <w:lang w:eastAsia="zh-CN"/>
              </w:rPr>
              <w:t>：</w:t>
            </w:r>
          </w:p>
        </w:tc>
      </w:tr>
      <w:tr w14:paraId="675A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noWrap w:val="0"/>
            <w:vAlign w:val="center"/>
          </w:tcPr>
          <w:p w14:paraId="4A5766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671006F2">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eastAsia="zh-CN"/>
              </w:rPr>
              <w:t>建筑面积</w:t>
            </w:r>
            <w:r>
              <w:rPr>
                <w:rFonts w:hint="default" w:ascii="Times New Roman" w:hAnsi="Times New Roman" w:eastAsia="楷体" w:cs="Times New Roman"/>
                <w:sz w:val="24"/>
                <w:lang w:val="en-US" w:eastAsia="zh-CN"/>
              </w:rPr>
              <w:t>超过</w:t>
            </w:r>
            <w:r>
              <w:rPr>
                <w:rFonts w:hint="default" w:ascii="Times New Roman" w:hAnsi="Times New Roman" w:eastAsia="楷体" w:cs="Times New Roman"/>
                <w:sz w:val="24"/>
                <w:lang w:eastAsia="zh-CN"/>
              </w:rPr>
              <w:t>2000平方米的公共图书馆、展览馆</w:t>
            </w:r>
            <w:r>
              <w:rPr>
                <w:rFonts w:hint="default" w:ascii="Times New Roman" w:hAnsi="Times New Roman" w:eastAsia="楷体" w:cs="Times New Roman"/>
                <w:sz w:val="24"/>
              </w:rPr>
              <w:t>；</w:t>
            </w:r>
          </w:p>
          <w:p w14:paraId="7A596099">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eastAsia" w:ascii="Times New Roman" w:hAnsi="Times New Roman" w:eastAsia="楷体" w:cs="Times New Roman"/>
                <w:sz w:val="24"/>
                <w:lang w:eastAsia="zh-CN"/>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val="en-US" w:eastAsia="zh-CN"/>
              </w:rPr>
              <w:t>公共</w:t>
            </w:r>
            <w:r>
              <w:rPr>
                <w:rFonts w:hint="default" w:ascii="Times New Roman" w:hAnsi="Times New Roman" w:eastAsia="楷体" w:cs="Times New Roman"/>
                <w:sz w:val="24"/>
                <w:lang w:eastAsia="zh-CN"/>
              </w:rPr>
              <w:t>博物馆、档案馆</w:t>
            </w:r>
            <w:r>
              <w:rPr>
                <w:rFonts w:hint="eastAsia" w:ascii="Times New Roman" w:hAnsi="Times New Roman" w:eastAsia="楷体" w:cs="Times New Roman"/>
                <w:sz w:val="24"/>
                <w:lang w:eastAsia="zh-CN"/>
              </w:rPr>
              <w:t>；</w:t>
            </w:r>
          </w:p>
          <w:p w14:paraId="431F9FBE">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val="en-US" w:eastAsia="zh-CN"/>
              </w:rPr>
              <w:t>具有火灾危险性的省级以上文物保护单位</w:t>
            </w:r>
            <w:r>
              <w:rPr>
                <w:rFonts w:hint="default" w:ascii="Times New Roman" w:hAnsi="Times New Roman" w:eastAsia="楷体" w:cs="Times New Roman"/>
                <w:sz w:val="24"/>
              </w:rPr>
              <w:t>。</w:t>
            </w:r>
          </w:p>
        </w:tc>
      </w:tr>
      <w:tr w14:paraId="0132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74" w:type="dxa"/>
            <w:vMerge w:val="restart"/>
            <w:tcBorders>
              <w:left w:val="single" w:color="auto" w:sz="12" w:space="0"/>
            </w:tcBorders>
            <w:shd w:val="clear"/>
            <w:noWrap w:val="0"/>
            <w:vAlign w:val="center"/>
          </w:tcPr>
          <w:p w14:paraId="320B84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eastAsia"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7</w:t>
            </w:r>
          </w:p>
        </w:tc>
        <w:tc>
          <w:tcPr>
            <w:tcW w:w="9957" w:type="dxa"/>
            <w:gridSpan w:val="7"/>
            <w:tcBorders>
              <w:right w:val="single" w:color="auto" w:sz="12" w:space="0"/>
            </w:tcBorders>
            <w:shd w:val="clear"/>
            <w:noWrap w:val="0"/>
            <w:vAlign w:val="center"/>
          </w:tcPr>
          <w:p w14:paraId="296DF7FC">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lang w:val="en-US" w:eastAsia="zh-CN"/>
              </w:rPr>
              <w:t>旅游、宗教活动场所</w:t>
            </w:r>
            <w:r>
              <w:rPr>
                <w:rFonts w:hint="default" w:ascii="Times New Roman" w:hAnsi="Times New Roman" w:eastAsia="楷体" w:cs="Times New Roman"/>
                <w:b/>
                <w:bCs/>
                <w:sz w:val="24"/>
                <w:lang w:eastAsia="zh-CN"/>
              </w:rPr>
              <w:t>：</w:t>
            </w:r>
          </w:p>
        </w:tc>
      </w:tr>
      <w:tr w14:paraId="44D4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noWrap w:val="0"/>
            <w:vAlign w:val="center"/>
          </w:tcPr>
          <w:p w14:paraId="1D62B6E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2C29E74C">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4A级以上的旅游风景区；</w:t>
            </w:r>
          </w:p>
          <w:p w14:paraId="5DE1179B">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总建筑面积超过2000平方米的宗教活动场所。</w:t>
            </w:r>
          </w:p>
        </w:tc>
      </w:tr>
      <w:tr w14:paraId="6DC9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74" w:type="dxa"/>
            <w:vMerge w:val="restart"/>
            <w:tcBorders>
              <w:left w:val="single" w:color="auto" w:sz="12" w:space="0"/>
            </w:tcBorders>
            <w:shd w:val="clear"/>
            <w:noWrap w:val="0"/>
            <w:vAlign w:val="center"/>
          </w:tcPr>
          <w:p w14:paraId="10E98A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eastAsia"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8</w:t>
            </w:r>
          </w:p>
        </w:tc>
        <w:tc>
          <w:tcPr>
            <w:tcW w:w="9957" w:type="dxa"/>
            <w:gridSpan w:val="7"/>
            <w:tcBorders>
              <w:right w:val="single" w:color="auto" w:sz="12" w:space="0"/>
            </w:tcBorders>
            <w:shd w:val="clear"/>
            <w:noWrap w:val="0"/>
            <w:vAlign w:val="center"/>
          </w:tcPr>
          <w:p w14:paraId="694F7325">
            <w:pPr>
              <w:keepNext w:val="0"/>
              <w:keepLines w:val="0"/>
              <w:pageBreakBefore w:val="0"/>
              <w:widowControl w:val="0"/>
              <w:kinsoku/>
              <w:wordWrap/>
              <w:overflowPunct/>
              <w:topLinePunct w:val="0"/>
              <w:autoSpaceDE w:val="0"/>
              <w:autoSpaceDN w:val="0"/>
              <w:bidi w:val="0"/>
              <w:adjustRightInd w:val="0"/>
              <w:snapToGrid w:val="0"/>
              <w:spacing w:line="330" w:lineRule="exact"/>
              <w:ind w:left="241" w:leftChars="0" w:hanging="241" w:hangingChars="100"/>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lang w:eastAsia="zh-CN"/>
              </w:rPr>
              <w:t>发电厂（站）和电网经营企业：</w:t>
            </w:r>
          </w:p>
        </w:tc>
      </w:tr>
      <w:tr w14:paraId="2430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noWrap w:val="0"/>
            <w:vAlign w:val="center"/>
          </w:tcPr>
          <w:p w14:paraId="31866AD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390104DB">
            <w:pPr>
              <w:keepNext w:val="0"/>
              <w:keepLines w:val="0"/>
              <w:pageBreakBefore w:val="0"/>
              <w:widowControl w:val="0"/>
              <w:kinsoku/>
              <w:wordWrap/>
              <w:overflowPunct/>
              <w:topLinePunct w:val="0"/>
              <w:autoSpaceDE w:val="0"/>
              <w:autoSpaceDN w:val="0"/>
              <w:bidi w:val="0"/>
              <w:adjustRightInd w:val="0"/>
              <w:snapToGrid w:val="0"/>
              <w:spacing w:line="330" w:lineRule="exact"/>
              <w:ind w:left="120" w:hanging="120" w:hangingChars="50"/>
              <w:textAlignment w:val="baseline"/>
              <w:rPr>
                <w:rFonts w:hint="default" w:ascii="Times New Roman" w:hAnsi="Times New Roman" w:eastAsia="楷体" w:cs="Times New Roman"/>
                <w:sz w:val="24"/>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val="en-US" w:eastAsia="zh-CN"/>
              </w:rPr>
              <w:t>100MW以上的火力发电厂、50MW以上的水力发电厂</w:t>
            </w:r>
            <w:r>
              <w:rPr>
                <w:rFonts w:hint="default" w:ascii="Times New Roman" w:hAnsi="Times New Roman" w:eastAsia="楷体" w:cs="Times New Roman"/>
                <w:sz w:val="24"/>
              </w:rPr>
              <w:t>；</w:t>
            </w:r>
          </w:p>
          <w:p w14:paraId="01D134A5">
            <w:pPr>
              <w:keepNext w:val="0"/>
              <w:keepLines w:val="0"/>
              <w:pageBreakBefore w:val="0"/>
              <w:widowControl w:val="0"/>
              <w:kinsoku/>
              <w:wordWrap/>
              <w:overflowPunct/>
              <w:topLinePunct w:val="0"/>
              <w:autoSpaceDE w:val="0"/>
              <w:autoSpaceDN w:val="0"/>
              <w:bidi w:val="0"/>
              <w:adjustRightInd w:val="0"/>
              <w:snapToGrid w:val="0"/>
              <w:spacing w:line="330" w:lineRule="exact"/>
              <w:ind w:left="120" w:hanging="120" w:hangingChars="50"/>
              <w:textAlignment w:val="baseline"/>
              <w:rPr>
                <w:rFonts w:hint="default" w:ascii="Times New Roman" w:hAnsi="Times New Roman" w:eastAsia="楷体" w:cs="Times New Roman"/>
                <w:sz w:val="24"/>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val="en-US" w:eastAsia="zh-CN"/>
              </w:rPr>
              <w:t>承担省、市、县（区）电力调度单位</w:t>
            </w:r>
            <w:r>
              <w:rPr>
                <w:rFonts w:hint="default" w:ascii="Times New Roman" w:hAnsi="Times New Roman" w:eastAsia="楷体" w:cs="Times New Roman"/>
                <w:sz w:val="24"/>
              </w:rPr>
              <w:t>；</w:t>
            </w:r>
          </w:p>
          <w:p w14:paraId="32ED606C">
            <w:pPr>
              <w:keepNext w:val="0"/>
              <w:keepLines w:val="0"/>
              <w:pageBreakBefore w:val="0"/>
              <w:widowControl w:val="0"/>
              <w:kinsoku/>
              <w:wordWrap/>
              <w:overflowPunct/>
              <w:topLinePunct w:val="0"/>
              <w:autoSpaceDE w:val="0"/>
              <w:autoSpaceDN w:val="0"/>
              <w:bidi w:val="0"/>
              <w:adjustRightInd w:val="0"/>
              <w:snapToGrid w:val="0"/>
              <w:spacing w:line="330" w:lineRule="exact"/>
              <w:ind w:left="120" w:hanging="120" w:hangingChars="50"/>
              <w:textAlignment w:val="baseline"/>
              <w:rPr>
                <w:rFonts w:hint="default" w:ascii="Times New Roman" w:hAnsi="Times New Roman" w:eastAsia="楷体" w:cs="Times New Roman"/>
                <w:sz w:val="24"/>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val="en-US" w:eastAsia="zh-CN"/>
              </w:rPr>
              <w:t>交流330千伏及以上、直流±500千伏及以上变电站</w:t>
            </w:r>
            <w:r>
              <w:rPr>
                <w:rFonts w:hint="default" w:ascii="Times New Roman" w:hAnsi="Times New Roman" w:eastAsia="楷体" w:cs="Times New Roman"/>
                <w:sz w:val="24"/>
              </w:rPr>
              <w:t xml:space="preserve">； </w:t>
            </w:r>
          </w:p>
          <w:p w14:paraId="1483C385">
            <w:pPr>
              <w:keepNext w:val="0"/>
              <w:keepLines w:val="0"/>
              <w:pageBreakBefore w:val="0"/>
              <w:widowControl w:val="0"/>
              <w:kinsoku/>
              <w:wordWrap/>
              <w:overflowPunct/>
              <w:topLinePunct w:val="0"/>
              <w:autoSpaceDE w:val="0"/>
              <w:autoSpaceDN w:val="0"/>
              <w:bidi w:val="0"/>
              <w:adjustRightInd w:val="0"/>
              <w:snapToGrid w:val="0"/>
              <w:spacing w:line="330" w:lineRule="exact"/>
              <w:ind w:left="120" w:leftChars="0" w:hanging="120" w:hangingChars="50"/>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eastAsia="zh-CN"/>
              </w:rPr>
              <w:t>□</w:t>
            </w:r>
            <w:r>
              <w:rPr>
                <w:rFonts w:hint="default" w:ascii="Times New Roman" w:hAnsi="Times New Roman" w:eastAsia="楷体" w:cs="Times New Roman"/>
                <w:sz w:val="24"/>
                <w:lang w:val="en-US" w:eastAsia="zh-CN"/>
              </w:rPr>
              <w:t>储能电站</w:t>
            </w:r>
            <w:r>
              <w:rPr>
                <w:rFonts w:hint="default" w:ascii="Times New Roman" w:hAnsi="Times New Roman" w:eastAsia="楷体" w:cs="Times New Roman"/>
                <w:sz w:val="24"/>
              </w:rPr>
              <w:t>。</w:t>
            </w:r>
          </w:p>
        </w:tc>
      </w:tr>
      <w:tr w14:paraId="6346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74" w:type="dxa"/>
            <w:vMerge w:val="restart"/>
            <w:tcBorders>
              <w:left w:val="single" w:color="auto" w:sz="12" w:space="0"/>
            </w:tcBorders>
            <w:shd w:val="clear"/>
            <w:noWrap w:val="0"/>
            <w:vAlign w:val="center"/>
          </w:tcPr>
          <w:p w14:paraId="5AB4179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eastAsia"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9</w:t>
            </w:r>
          </w:p>
        </w:tc>
        <w:tc>
          <w:tcPr>
            <w:tcW w:w="9957" w:type="dxa"/>
            <w:gridSpan w:val="7"/>
            <w:tcBorders>
              <w:right w:val="single" w:color="auto" w:sz="12" w:space="0"/>
            </w:tcBorders>
            <w:shd w:val="clear"/>
            <w:noWrap w:val="0"/>
            <w:vAlign w:val="center"/>
          </w:tcPr>
          <w:p w14:paraId="538B8848">
            <w:pPr>
              <w:keepNext w:val="0"/>
              <w:keepLines w:val="0"/>
              <w:pageBreakBefore w:val="0"/>
              <w:widowControl w:val="0"/>
              <w:kinsoku/>
              <w:wordWrap/>
              <w:overflowPunct/>
              <w:topLinePunct w:val="0"/>
              <w:autoSpaceDE w:val="0"/>
              <w:autoSpaceDN w:val="0"/>
              <w:bidi w:val="0"/>
              <w:adjustRightInd w:val="0"/>
              <w:snapToGrid w:val="0"/>
              <w:spacing w:line="330" w:lineRule="exact"/>
              <w:ind w:left="241" w:leftChars="0" w:hanging="241" w:hangingChars="100"/>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lang w:eastAsia="zh-CN"/>
              </w:rPr>
              <w:t>易燃易爆化学物品的生产、充装、存储、供应、销售单位：</w:t>
            </w:r>
          </w:p>
        </w:tc>
      </w:tr>
      <w:tr w14:paraId="2CC5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74" w:type="dxa"/>
            <w:vMerge w:val="continue"/>
            <w:tcBorders>
              <w:left w:val="single" w:color="auto" w:sz="12" w:space="0"/>
            </w:tcBorders>
            <w:shd w:val="clear"/>
            <w:noWrap w:val="0"/>
            <w:vAlign w:val="center"/>
          </w:tcPr>
          <w:p w14:paraId="65B43E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0BD3AB47">
            <w:pPr>
              <w:keepNext w:val="0"/>
              <w:keepLines w:val="0"/>
              <w:pageBreakBefore w:val="0"/>
              <w:widowControl w:val="0"/>
              <w:kinsoku/>
              <w:wordWrap/>
              <w:overflowPunct/>
              <w:topLinePunct w:val="0"/>
              <w:autoSpaceDE w:val="0"/>
              <w:autoSpaceDN w:val="0"/>
              <w:bidi w:val="0"/>
              <w:adjustRightInd w:val="0"/>
              <w:snapToGrid w:val="0"/>
              <w:spacing w:line="330" w:lineRule="exact"/>
              <w:ind w:left="120" w:hanging="120" w:hangingChars="50"/>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工艺装置占地面积超过5000平方米的石化、煤化等化工单位；</w:t>
            </w:r>
          </w:p>
          <w:p w14:paraId="6467F49D">
            <w:pPr>
              <w:keepNext w:val="0"/>
              <w:keepLines w:val="0"/>
              <w:pageBreakBefore w:val="0"/>
              <w:widowControl w:val="0"/>
              <w:kinsoku/>
              <w:wordWrap/>
              <w:overflowPunct/>
              <w:topLinePunct w:val="0"/>
              <w:autoSpaceDE w:val="0"/>
              <w:autoSpaceDN w:val="0"/>
              <w:bidi w:val="0"/>
              <w:adjustRightInd w:val="0"/>
              <w:snapToGrid w:val="0"/>
              <w:spacing w:line="330" w:lineRule="exact"/>
              <w:ind w:left="120" w:hanging="120" w:hangingChars="50"/>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总建筑面积超过1500平方米的甲类厂房</w:t>
            </w: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或者总建筑面积超过2000平方米的甲、乙类厂房；</w:t>
            </w:r>
          </w:p>
          <w:p w14:paraId="53E004EE">
            <w:pPr>
              <w:keepNext w:val="0"/>
              <w:keepLines w:val="0"/>
              <w:pageBreakBefore w:val="0"/>
              <w:widowControl w:val="0"/>
              <w:kinsoku/>
              <w:wordWrap/>
              <w:overflowPunct/>
              <w:topLinePunct w:val="0"/>
              <w:autoSpaceDE w:val="0"/>
              <w:autoSpaceDN w:val="0"/>
              <w:bidi w:val="0"/>
              <w:adjustRightInd w:val="0"/>
              <w:snapToGrid w:val="0"/>
              <w:spacing w:line="330" w:lineRule="exact"/>
              <w:ind w:left="120" w:hanging="120" w:hangingChars="50"/>
              <w:textAlignment w:val="baseline"/>
              <w:rPr>
                <w:rFonts w:hint="default"/>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总容量500立方米以上的可燃气体灌装站、调压站</w:t>
            </w:r>
            <w:r>
              <w:rPr>
                <w:rFonts w:hint="eastAsia" w:ascii="Times New Roman" w:hAnsi="Times New Roman" w:eastAsia="楷体" w:cs="Times New Roman"/>
                <w:sz w:val="24"/>
                <w:lang w:val="en-US" w:eastAsia="zh-CN"/>
              </w:rPr>
              <w:t>。</w:t>
            </w:r>
          </w:p>
          <w:p w14:paraId="073EB047">
            <w:pPr>
              <w:keepNext w:val="0"/>
              <w:keepLines w:val="0"/>
              <w:pageBreakBefore w:val="0"/>
              <w:widowControl w:val="0"/>
              <w:kinsoku/>
              <w:wordWrap/>
              <w:overflowPunct/>
              <w:topLinePunct w:val="0"/>
              <w:autoSpaceDE w:val="0"/>
              <w:autoSpaceDN w:val="0"/>
              <w:bidi w:val="0"/>
              <w:adjustRightInd w:val="0"/>
              <w:snapToGrid w:val="0"/>
              <w:spacing w:line="330" w:lineRule="exact"/>
              <w:ind w:left="120" w:hanging="120" w:hangingChars="50"/>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储存易燃易爆化学物品的专用仓库（堆场、储罐场所）</w:t>
            </w:r>
            <w:r>
              <w:rPr>
                <w:rFonts w:hint="eastAsia" w:ascii="Times New Roman" w:hAnsi="Times New Roman" w:eastAsia="楷体" w:cs="Times New Roman"/>
                <w:sz w:val="24"/>
                <w:lang w:val="en-US" w:eastAsia="zh-CN"/>
              </w:rPr>
              <w:t>：</w:t>
            </w:r>
          </w:p>
          <w:p w14:paraId="3540B053">
            <w:pPr>
              <w:keepNext w:val="0"/>
              <w:keepLines w:val="0"/>
              <w:pageBreakBefore w:val="0"/>
              <w:widowControl w:val="0"/>
              <w:kinsoku/>
              <w:wordWrap/>
              <w:overflowPunct/>
              <w:topLinePunct w:val="0"/>
              <w:autoSpaceDE w:val="0"/>
              <w:autoSpaceDN w:val="0"/>
              <w:bidi w:val="0"/>
              <w:adjustRightInd w:val="0"/>
              <w:snapToGrid w:val="0"/>
              <w:spacing w:line="330" w:lineRule="exact"/>
              <w:ind w:firstLine="240" w:firstLineChars="100"/>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单座容积超过5000立方米或者总容积超过10000立方米的甲乙类储罐</w:t>
            </w:r>
            <w:r>
              <w:rPr>
                <w:rFonts w:hint="eastAsia" w:ascii="Times New Roman" w:hAnsi="Times New Roman" w:eastAsia="楷体" w:cs="Times New Roman"/>
                <w:sz w:val="24"/>
                <w:lang w:val="en-US" w:eastAsia="zh-CN"/>
              </w:rPr>
              <w:t>；</w:t>
            </w:r>
          </w:p>
          <w:p w14:paraId="73DE9994">
            <w:pPr>
              <w:keepNext w:val="0"/>
              <w:keepLines w:val="0"/>
              <w:pageBreakBefore w:val="0"/>
              <w:widowControl w:val="0"/>
              <w:kinsoku/>
              <w:wordWrap/>
              <w:overflowPunct/>
              <w:topLinePunct w:val="0"/>
              <w:autoSpaceDE w:val="0"/>
              <w:autoSpaceDN w:val="0"/>
              <w:bidi w:val="0"/>
              <w:adjustRightInd w:val="0"/>
              <w:snapToGrid w:val="0"/>
              <w:spacing w:line="330" w:lineRule="exact"/>
              <w:ind w:firstLine="240" w:firstLineChars="100"/>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单座容积超过500立方米或者总容积超过2000立方米的液化烃（含液化石油气）储罐</w:t>
            </w:r>
            <w:r>
              <w:rPr>
                <w:rFonts w:hint="eastAsia" w:ascii="Times New Roman" w:hAnsi="Times New Roman" w:eastAsia="楷体" w:cs="Times New Roman"/>
                <w:sz w:val="24"/>
                <w:lang w:val="en-US" w:eastAsia="zh-CN"/>
              </w:rPr>
              <w:t>;</w:t>
            </w:r>
          </w:p>
          <w:p w14:paraId="283B6AA4">
            <w:pPr>
              <w:keepNext w:val="0"/>
              <w:keepLines w:val="0"/>
              <w:pageBreakBefore w:val="0"/>
              <w:widowControl w:val="0"/>
              <w:kinsoku/>
              <w:wordWrap/>
              <w:overflowPunct/>
              <w:topLinePunct w:val="0"/>
              <w:autoSpaceDE w:val="0"/>
              <w:autoSpaceDN w:val="0"/>
              <w:bidi w:val="0"/>
              <w:adjustRightInd w:val="0"/>
              <w:snapToGrid w:val="0"/>
              <w:spacing w:line="330" w:lineRule="exact"/>
              <w:ind w:firstLine="240" w:firstLineChars="100"/>
              <w:textAlignment w:val="baseline"/>
              <w:rPr>
                <w:rFonts w:hint="default" w:ascii="Arial" w:hAnsi="Arial" w:eastAsia="Arial" w:cs="Arial"/>
                <w:snapToGrid w:val="0"/>
                <w:color w:val="000000"/>
                <w:kern w:val="0"/>
                <w:sz w:val="21"/>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总建筑面积超过750平方米的甲类仓库，或者总建筑面积超过2000平方米的甲、乙类仓库</w:t>
            </w:r>
            <w:r>
              <w:rPr>
                <w:rFonts w:hint="eastAsia" w:ascii="Times New Roman" w:hAnsi="Times New Roman" w:eastAsia="楷体" w:cs="Times New Roman"/>
                <w:sz w:val="24"/>
                <w:lang w:val="en-US" w:eastAsia="zh-CN"/>
              </w:rPr>
              <w:t>。</w:t>
            </w:r>
          </w:p>
        </w:tc>
      </w:tr>
      <w:tr w14:paraId="1A3F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74" w:type="dxa"/>
            <w:vMerge w:val="restart"/>
            <w:tcBorders>
              <w:left w:val="single" w:color="auto" w:sz="12" w:space="0"/>
            </w:tcBorders>
            <w:shd w:val="clear"/>
            <w:noWrap w:val="0"/>
            <w:vAlign w:val="center"/>
          </w:tcPr>
          <w:p w14:paraId="3742027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10</w:t>
            </w:r>
          </w:p>
        </w:tc>
        <w:tc>
          <w:tcPr>
            <w:tcW w:w="9957" w:type="dxa"/>
            <w:gridSpan w:val="7"/>
            <w:tcBorders>
              <w:right w:val="single" w:color="auto" w:sz="12" w:space="0"/>
            </w:tcBorders>
            <w:shd w:val="clear"/>
            <w:noWrap w:val="0"/>
            <w:vAlign w:val="center"/>
          </w:tcPr>
          <w:p w14:paraId="72980AE3">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lang w:eastAsia="zh-CN"/>
              </w:rPr>
              <w:t>生产、加工企业：</w:t>
            </w:r>
          </w:p>
        </w:tc>
      </w:tr>
      <w:tr w14:paraId="3704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noWrap w:val="0"/>
            <w:vAlign w:val="center"/>
          </w:tcPr>
          <w:p w14:paraId="332D2EE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2B0747C4">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生产车间员工在100人以上的服装、鞋帽、玩具、木制品、家具、塑料、食品加工和纺织、印染等劳动密集型企业；</w:t>
            </w:r>
          </w:p>
          <w:p w14:paraId="16565DB9">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总建筑面积在2000平方米（西安5000平方米）以上的洁净厂房、电子厂房</w:t>
            </w:r>
            <w:r>
              <w:rPr>
                <w:rFonts w:hint="eastAsia" w:ascii="Times New Roman" w:hAnsi="Times New Roman" w:eastAsia="楷体" w:cs="Times New Roman"/>
                <w:sz w:val="24"/>
                <w:lang w:val="en-US" w:eastAsia="zh-CN"/>
              </w:rPr>
              <w:t>；</w:t>
            </w:r>
          </w:p>
          <w:p w14:paraId="56574F14">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Arial" w:hAnsi="Arial" w:eastAsia="Arial" w:cs="Arial"/>
                <w:snapToGrid w:val="0"/>
                <w:color w:val="000000"/>
                <w:kern w:val="0"/>
                <w:sz w:val="21"/>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总建筑面积在6000平方米（西安10000平方米）以上的丙类厂房</w:t>
            </w:r>
            <w:r>
              <w:rPr>
                <w:rFonts w:hint="eastAsia" w:ascii="Times New Roman" w:hAnsi="Times New Roman" w:eastAsia="楷体" w:cs="Times New Roman"/>
                <w:sz w:val="24"/>
                <w:lang w:val="en-US" w:eastAsia="zh-CN"/>
              </w:rPr>
              <w:t>。</w:t>
            </w:r>
          </w:p>
        </w:tc>
      </w:tr>
      <w:tr w14:paraId="2DCB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74" w:type="dxa"/>
            <w:vMerge w:val="restart"/>
            <w:tcBorders>
              <w:left w:val="single" w:color="auto" w:sz="12" w:space="0"/>
            </w:tcBorders>
            <w:shd w:val="clear"/>
            <w:noWrap w:val="0"/>
            <w:vAlign w:val="center"/>
          </w:tcPr>
          <w:p w14:paraId="146DD75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11</w:t>
            </w:r>
          </w:p>
        </w:tc>
        <w:tc>
          <w:tcPr>
            <w:tcW w:w="9957" w:type="dxa"/>
            <w:gridSpan w:val="7"/>
            <w:tcBorders>
              <w:right w:val="single" w:color="auto" w:sz="12" w:space="0"/>
            </w:tcBorders>
            <w:shd w:val="clear"/>
            <w:noWrap w:val="0"/>
            <w:vAlign w:val="center"/>
          </w:tcPr>
          <w:p w14:paraId="5B2C3272">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方正黑体_GBK" w:cs="Times New Roman"/>
                <w:snapToGrid w:val="0"/>
                <w:color w:val="000000"/>
                <w:kern w:val="0"/>
                <w:sz w:val="24"/>
                <w:szCs w:val="21"/>
                <w:lang w:val="en-US" w:eastAsia="en-US" w:bidi="ar-SA"/>
              </w:rPr>
            </w:pPr>
            <w:r>
              <w:rPr>
                <w:rFonts w:hint="default" w:ascii="Times New Roman" w:hAnsi="Times New Roman" w:eastAsia="楷体" w:cs="Times New Roman"/>
                <w:b/>
                <w:bCs/>
                <w:sz w:val="24"/>
                <w:lang w:eastAsia="zh-CN"/>
              </w:rPr>
              <w:t>重要的科研单位</w:t>
            </w:r>
            <w:r>
              <w:rPr>
                <w:rFonts w:hint="eastAsia" w:ascii="Times New Roman" w:hAnsi="Times New Roman" w:eastAsia="楷体" w:cs="Times New Roman"/>
                <w:b/>
                <w:bCs/>
                <w:sz w:val="24"/>
                <w:lang w:eastAsia="zh-CN"/>
              </w:rPr>
              <w:t>：</w:t>
            </w:r>
          </w:p>
        </w:tc>
      </w:tr>
      <w:tr w14:paraId="7739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noWrap w:val="0"/>
            <w:vAlign w:val="center"/>
          </w:tcPr>
          <w:p w14:paraId="011CC74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4503007A">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国家和省级科研单位；</w:t>
            </w:r>
          </w:p>
          <w:p w14:paraId="058E69FF">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负责国家重点科研项目的科研单位；</w:t>
            </w:r>
          </w:p>
          <w:p w14:paraId="61F0FA7C">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储存易燃易爆化学危险物品（甲、乙类）超过300公斤的科研单位</w:t>
            </w:r>
            <w:r>
              <w:rPr>
                <w:rFonts w:hint="eastAsia" w:ascii="Times New Roman" w:hAnsi="Times New Roman" w:eastAsia="楷体" w:cs="Times New Roman"/>
                <w:sz w:val="24"/>
                <w:lang w:val="en-US" w:eastAsia="zh-CN"/>
              </w:rPr>
              <w:t>。</w:t>
            </w:r>
          </w:p>
        </w:tc>
      </w:tr>
      <w:tr w14:paraId="4992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4" w:type="dxa"/>
            <w:vMerge w:val="restart"/>
            <w:tcBorders>
              <w:left w:val="single" w:color="auto" w:sz="12" w:space="0"/>
            </w:tcBorders>
            <w:shd w:val="clear"/>
            <w:noWrap w:val="0"/>
            <w:vAlign w:val="center"/>
          </w:tcPr>
          <w:p w14:paraId="66F44D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12</w:t>
            </w:r>
          </w:p>
        </w:tc>
        <w:tc>
          <w:tcPr>
            <w:tcW w:w="9957" w:type="dxa"/>
            <w:gridSpan w:val="7"/>
            <w:tcBorders>
              <w:right w:val="single" w:color="auto" w:sz="12" w:space="0"/>
            </w:tcBorders>
            <w:shd w:val="clear"/>
            <w:noWrap w:val="0"/>
            <w:vAlign w:val="center"/>
          </w:tcPr>
          <w:p w14:paraId="17FD52C1">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lang w:eastAsia="zh-CN"/>
              </w:rPr>
              <w:t>高层公共建筑、地下铁道、地下观光隧道、粮、棉、木材、百货等物资仓库和堆场：</w:t>
            </w:r>
          </w:p>
        </w:tc>
      </w:tr>
      <w:tr w14:paraId="0806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474" w:type="dxa"/>
            <w:vMerge w:val="continue"/>
            <w:tcBorders>
              <w:left w:val="single" w:color="auto" w:sz="12" w:space="0"/>
            </w:tcBorders>
            <w:shd w:val="clear"/>
            <w:noWrap w:val="0"/>
            <w:vAlign w:val="center"/>
          </w:tcPr>
          <w:p w14:paraId="552150C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4D3CA682">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超高层公共建筑、设有符合重点单位界定标准公众聚集场所的一类高层公共建筑；</w:t>
            </w:r>
          </w:p>
          <w:p w14:paraId="2F9C5F8D">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城市地下铁道、地下观光隧道等地下公共建筑和城市重要的交通隧道；</w:t>
            </w:r>
          </w:p>
          <w:p w14:paraId="678D5FC5">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国家储备粮库、总数量10000吨以上的其他粮油仓库</w:t>
            </w:r>
            <w:r>
              <w:rPr>
                <w:rFonts w:hint="eastAsia" w:ascii="Times New Roman" w:hAnsi="Times New Roman" w:eastAsia="楷体" w:cs="Times New Roman"/>
                <w:sz w:val="24"/>
                <w:lang w:val="en-US" w:eastAsia="zh-CN"/>
              </w:rPr>
              <w:t>；</w:t>
            </w:r>
          </w:p>
          <w:p w14:paraId="4CAB4AFD">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总储量500吨以上的棉库</w:t>
            </w:r>
            <w:r>
              <w:rPr>
                <w:rFonts w:hint="eastAsia" w:ascii="Times New Roman" w:hAnsi="Times New Roman" w:eastAsia="楷体" w:cs="Times New Roman"/>
                <w:sz w:val="24"/>
                <w:lang w:val="en-US" w:eastAsia="zh-CN"/>
              </w:rPr>
              <w:t>；</w:t>
            </w:r>
          </w:p>
          <w:p w14:paraId="3AF16341">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总储量在10000立方米以上的木材堆场；</w:t>
            </w:r>
          </w:p>
          <w:p w14:paraId="45121D8E">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Arial" w:hAnsi="Arial" w:eastAsia="Arial" w:cs="Arial"/>
                <w:snapToGrid w:val="0"/>
                <w:color w:val="000000"/>
                <w:kern w:val="0"/>
                <w:sz w:val="21"/>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单层占地面积超过12000平方米或者多层占地面积超过9600平方米的大型物流仓库。</w:t>
            </w:r>
          </w:p>
        </w:tc>
      </w:tr>
      <w:tr w14:paraId="71EA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4" w:type="dxa"/>
            <w:vMerge w:val="restart"/>
            <w:tcBorders>
              <w:left w:val="single" w:color="auto" w:sz="12" w:space="0"/>
            </w:tcBorders>
            <w:shd w:val="clear"/>
            <w:noWrap w:val="0"/>
            <w:vAlign w:val="center"/>
          </w:tcPr>
          <w:p w14:paraId="6213ADE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30" w:lineRule="exact"/>
              <w:ind w:left="425" w:leftChars="0" w:hanging="425" w:firstLineChars="0"/>
              <w:jc w:val="center"/>
              <w:textAlignment w:val="baseline"/>
              <w:rPr>
                <w:rFonts w:hint="default" w:ascii="Times New Roman" w:hAnsi="Times New Roman" w:eastAsia="Arial" w:cs="Times New Roman"/>
                <w:b/>
                <w:bCs/>
                <w:snapToGrid w:val="0"/>
                <w:color w:val="000000"/>
                <w:kern w:val="0"/>
                <w:sz w:val="24"/>
                <w:szCs w:val="21"/>
                <w:lang w:val="en-US" w:eastAsia="zh-CN" w:bidi="ar-SA"/>
              </w:rPr>
            </w:pPr>
            <w:r>
              <w:rPr>
                <w:rFonts w:hint="eastAsia" w:ascii="Times New Roman" w:hAnsi="Times New Roman" w:eastAsia="Arial" w:cs="Times New Roman"/>
                <w:b/>
                <w:bCs/>
                <w:snapToGrid w:val="0"/>
                <w:color w:val="000000"/>
                <w:kern w:val="0"/>
                <w:sz w:val="24"/>
                <w:szCs w:val="21"/>
                <w:lang w:val="en-US" w:eastAsia="zh-CN" w:bidi="ar-SA"/>
              </w:rPr>
              <w:t>13</w:t>
            </w:r>
          </w:p>
        </w:tc>
        <w:tc>
          <w:tcPr>
            <w:tcW w:w="9957" w:type="dxa"/>
            <w:gridSpan w:val="7"/>
            <w:tcBorders>
              <w:right w:val="single" w:color="auto" w:sz="12" w:space="0"/>
            </w:tcBorders>
            <w:shd w:val="clear"/>
            <w:noWrap w:val="0"/>
            <w:vAlign w:val="center"/>
          </w:tcPr>
          <w:p w14:paraId="26D89DE2">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default" w:ascii="Times New Roman" w:hAnsi="Times New Roman" w:eastAsia="楷体" w:cs="Times New Roman"/>
                <w:b/>
                <w:bCs/>
                <w:sz w:val="24"/>
                <w:lang w:eastAsia="zh-CN"/>
              </w:rPr>
              <w:t>发生火灾可能性较大以及一旦发生火灾可能造成人身重大伤亡或者财产重大损失的单位：</w:t>
            </w:r>
          </w:p>
        </w:tc>
      </w:tr>
      <w:tr w14:paraId="3381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474" w:type="dxa"/>
            <w:vMerge w:val="continue"/>
            <w:tcBorders>
              <w:left w:val="single" w:color="auto" w:sz="12" w:space="0"/>
            </w:tcBorders>
            <w:shd w:val="clear"/>
            <w:noWrap w:val="0"/>
            <w:vAlign w:val="center"/>
          </w:tcPr>
          <w:p w14:paraId="527C035C">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ind w:right="480" w:rightChars="0"/>
              <w:jc w:val="center"/>
              <w:textAlignment w:val="baseline"/>
              <w:rPr>
                <w:rFonts w:hint="default" w:ascii="Times New Roman" w:hAnsi="Times New Roman" w:eastAsia="楷体" w:cs="Times New Roman"/>
                <w:snapToGrid w:val="0"/>
                <w:color w:val="000000"/>
                <w:kern w:val="0"/>
                <w:sz w:val="24"/>
                <w:szCs w:val="21"/>
                <w:lang w:val="en-US" w:eastAsia="en-US" w:bidi="ar-SA"/>
              </w:rPr>
            </w:pPr>
          </w:p>
        </w:tc>
        <w:tc>
          <w:tcPr>
            <w:tcW w:w="9957" w:type="dxa"/>
            <w:gridSpan w:val="7"/>
            <w:tcBorders>
              <w:right w:val="single" w:color="auto" w:sz="12" w:space="0"/>
            </w:tcBorders>
            <w:shd w:val="clear"/>
            <w:noWrap w:val="0"/>
            <w:vAlign w:val="center"/>
          </w:tcPr>
          <w:p w14:paraId="56B24B1F">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固定资产（建筑、设备、原材料等）价值在5亿元以上的电子、汽车、钢铁、烟草、航天纺织、造纸工业等企业；</w:t>
            </w:r>
          </w:p>
          <w:p w14:paraId="4C19B99F">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银行业、保险业、证券业数据处理中心；</w:t>
            </w:r>
          </w:p>
          <w:p w14:paraId="1F5792BC">
            <w:pPr>
              <w:keepNext w:val="0"/>
              <w:keepLines w:val="0"/>
              <w:pageBreakBefore w:val="0"/>
              <w:widowControl w:val="0"/>
              <w:kinsoku/>
              <w:wordWrap/>
              <w:overflowPunct/>
              <w:topLinePunct w:val="0"/>
              <w:autoSpaceDE w:val="0"/>
              <w:autoSpaceDN w:val="0"/>
              <w:bidi w:val="0"/>
              <w:adjustRightInd w:val="0"/>
              <w:snapToGrid w:val="0"/>
              <w:spacing w:line="330" w:lineRule="exact"/>
              <w:textAlignment w:val="baseline"/>
              <w:rPr>
                <w:rFonts w:hint="default" w:ascii="Times New Roman" w:hAnsi="Times New Roman" w:eastAsia="楷体" w:cs="Times New Roman"/>
                <w:snapToGrid w:val="0"/>
                <w:color w:val="000000"/>
                <w:kern w:val="0"/>
                <w:sz w:val="24"/>
                <w:szCs w:val="21"/>
                <w:lang w:val="en-US" w:eastAsia="en-US" w:bidi="ar-SA"/>
              </w:rPr>
            </w:pPr>
            <w:r>
              <w:rPr>
                <w:rFonts w:hint="eastAsia" w:ascii="Times New Roman" w:hAnsi="Times New Roman" w:eastAsia="楷体" w:cs="Times New Roman"/>
                <w:sz w:val="24"/>
                <w:lang w:val="en-US" w:eastAsia="zh-CN"/>
              </w:rPr>
              <w:t>□</w:t>
            </w:r>
            <w:r>
              <w:rPr>
                <w:rFonts w:hint="default" w:ascii="Times New Roman" w:hAnsi="Times New Roman" w:eastAsia="楷体" w:cs="Times New Roman"/>
                <w:sz w:val="24"/>
                <w:lang w:val="en-US" w:eastAsia="zh-CN"/>
              </w:rPr>
              <w:t>各银行在陕的省级分支机构。</w:t>
            </w:r>
          </w:p>
        </w:tc>
      </w:tr>
      <w:tr w14:paraId="5B80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3043" w:type="dxa"/>
            <w:gridSpan w:val="3"/>
            <w:tcBorders>
              <w:left w:val="single" w:color="auto" w:sz="12" w:space="0"/>
            </w:tcBorders>
            <w:noWrap w:val="0"/>
            <w:vAlign w:val="center"/>
          </w:tcPr>
          <w:p w14:paraId="1044BF21">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b/>
                <w:sz w:val="24"/>
              </w:rPr>
            </w:pPr>
            <w:r>
              <w:rPr>
                <w:rFonts w:hint="default" w:ascii="Times New Roman" w:hAnsi="Times New Roman" w:eastAsia="楷体" w:cs="Times New Roman"/>
                <w:sz w:val="24"/>
              </w:rPr>
              <w:t>申报单位意见</w:t>
            </w:r>
          </w:p>
        </w:tc>
        <w:tc>
          <w:tcPr>
            <w:tcW w:w="7388" w:type="dxa"/>
            <w:gridSpan w:val="5"/>
            <w:tcBorders>
              <w:right w:val="single" w:color="auto" w:sz="12" w:space="0"/>
            </w:tcBorders>
            <w:noWrap w:val="0"/>
            <w:vAlign w:val="top"/>
          </w:tcPr>
          <w:p w14:paraId="527343E5">
            <w:pPr>
              <w:keepNext w:val="0"/>
              <w:keepLines w:val="0"/>
              <w:pageBreakBefore w:val="0"/>
              <w:widowControl w:val="0"/>
              <w:kinsoku/>
              <w:wordWrap/>
              <w:overflowPunct/>
              <w:topLinePunct w:val="0"/>
              <w:autoSpaceDE w:val="0"/>
              <w:autoSpaceDN w:val="0"/>
              <w:bidi w:val="0"/>
              <w:adjustRightInd w:val="0"/>
              <w:snapToGrid w:val="0"/>
              <w:spacing w:before="156" w:beforeLines="50" w:line="320" w:lineRule="exact"/>
              <w:ind w:firstLine="480" w:firstLineChars="200"/>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我单位基本情况</w:t>
            </w:r>
            <w:r>
              <w:rPr>
                <w:rFonts w:hint="default" w:ascii="Times New Roman" w:hAnsi="Times New Roman" w:eastAsia="楷体" w:cs="Times New Roman"/>
                <w:color w:val="FF0000"/>
                <w:sz w:val="24"/>
              </w:rPr>
              <w:t>（填写单位属于哪类重点单位的具体情形，如</w:t>
            </w:r>
            <w:r>
              <w:rPr>
                <w:rFonts w:hint="eastAsia" w:ascii="Times New Roman" w:hAnsi="Times New Roman" w:eastAsia="楷体" w:cs="Times New Roman"/>
                <w:color w:val="FF0000"/>
                <w:sz w:val="24"/>
                <w:lang w:val="en-US" w:eastAsia="zh-CN"/>
              </w:rPr>
              <w:t>酒店</w:t>
            </w:r>
            <w:r>
              <w:rPr>
                <w:rFonts w:hint="default" w:ascii="Times New Roman" w:hAnsi="Times New Roman" w:eastAsia="楷体" w:cs="Times New Roman"/>
                <w:color w:val="FF0000"/>
                <w:sz w:val="24"/>
              </w:rPr>
              <w:t>客房</w:t>
            </w:r>
            <w:r>
              <w:rPr>
                <w:rFonts w:hint="eastAsia" w:ascii="Times New Roman" w:hAnsi="Times New Roman" w:eastAsia="楷体" w:cs="Times New Roman"/>
                <w:color w:val="FF0000"/>
                <w:sz w:val="24"/>
                <w:lang w:val="en-US" w:eastAsia="zh-CN"/>
              </w:rPr>
              <w:t>50</w:t>
            </w:r>
            <w:r>
              <w:rPr>
                <w:rFonts w:hint="default" w:ascii="Times New Roman" w:hAnsi="Times New Roman" w:eastAsia="楷体" w:cs="Times New Roman"/>
                <w:color w:val="FF0000"/>
                <w:sz w:val="24"/>
              </w:rPr>
              <w:t>间）</w:t>
            </w:r>
            <w:r>
              <w:rPr>
                <w:rFonts w:hint="default" w:ascii="Times New Roman" w:hAnsi="Times New Roman" w:eastAsia="楷体" w:cs="Times New Roman"/>
                <w:sz w:val="24"/>
              </w:rPr>
              <w:t>，符合《</w:t>
            </w:r>
            <w:r>
              <w:rPr>
                <w:rFonts w:hint="eastAsia" w:ascii="Times New Roman" w:hAnsi="Times New Roman" w:eastAsia="楷体" w:cs="Times New Roman"/>
                <w:sz w:val="24"/>
                <w:lang w:val="en-US" w:eastAsia="zh-CN"/>
              </w:rPr>
              <w:t>陕西</w:t>
            </w:r>
            <w:r>
              <w:rPr>
                <w:rFonts w:hint="default" w:ascii="Times New Roman" w:hAnsi="Times New Roman" w:eastAsia="楷体" w:cs="Times New Roman"/>
                <w:sz w:val="24"/>
              </w:rPr>
              <w:t>省消防安全重点单位界定标准》（</w:t>
            </w:r>
            <w:r>
              <w:rPr>
                <w:rFonts w:hint="eastAsia" w:ascii="Times New Roman" w:hAnsi="Times New Roman" w:eastAsia="楷体" w:cs="Times New Roman"/>
                <w:sz w:val="24"/>
                <w:lang w:val="en-US" w:eastAsia="zh-CN"/>
              </w:rPr>
              <w:t>陕</w:t>
            </w:r>
            <w:r>
              <w:rPr>
                <w:rFonts w:hint="default" w:ascii="Times New Roman" w:hAnsi="Times New Roman" w:eastAsia="楷体" w:cs="Times New Roman"/>
                <w:sz w:val="24"/>
              </w:rPr>
              <w:t>消〔2023〕1</w:t>
            </w:r>
            <w:r>
              <w:rPr>
                <w:rFonts w:hint="eastAsia" w:ascii="Times New Roman" w:hAnsi="Times New Roman" w:eastAsia="楷体" w:cs="Times New Roman"/>
                <w:sz w:val="24"/>
                <w:lang w:val="en-US" w:eastAsia="zh-CN"/>
              </w:rPr>
              <w:t>7</w:t>
            </w:r>
            <w:r>
              <w:rPr>
                <w:rFonts w:hint="default" w:ascii="Times New Roman" w:hAnsi="Times New Roman" w:eastAsia="楷体" w:cs="Times New Roman"/>
                <w:sz w:val="24"/>
              </w:rPr>
              <w:t>0号）第</w:t>
            </w:r>
            <w:r>
              <w:rPr>
                <w:rFonts w:hint="default" w:ascii="Times New Roman" w:hAnsi="Times New Roman" w:eastAsia="楷体" w:cs="Times New Roman"/>
                <w:color w:val="FF0000"/>
                <w:sz w:val="24"/>
              </w:rPr>
              <w:t>多少</w:t>
            </w:r>
            <w:r>
              <w:rPr>
                <w:rFonts w:hint="default" w:ascii="Times New Roman" w:hAnsi="Times New Roman" w:eastAsia="楷体" w:cs="Times New Roman"/>
                <w:sz w:val="24"/>
              </w:rPr>
              <w:t>条</w:t>
            </w:r>
            <w:r>
              <w:rPr>
                <w:rFonts w:hint="default" w:ascii="Times New Roman" w:hAnsi="Times New Roman" w:eastAsia="楷体" w:cs="Times New Roman"/>
                <w:color w:val="FF0000"/>
                <w:sz w:val="24"/>
              </w:rPr>
              <w:t>多少</w:t>
            </w:r>
            <w:r>
              <w:rPr>
                <w:rFonts w:hint="default" w:ascii="Times New Roman" w:hAnsi="Times New Roman" w:eastAsia="楷体" w:cs="Times New Roman"/>
                <w:sz w:val="24"/>
              </w:rPr>
              <w:t>款，根据《机关、团体、企业、事业单位消防安全管理规定》第十四条规定，现申报为消防安全重点单位。</w:t>
            </w:r>
          </w:p>
          <w:p w14:paraId="350D5AA4">
            <w:pPr>
              <w:keepNext w:val="0"/>
              <w:keepLines w:val="0"/>
              <w:pageBreakBefore w:val="0"/>
              <w:widowControl w:val="0"/>
              <w:kinsoku/>
              <w:wordWrap/>
              <w:overflowPunct/>
              <w:topLinePunct w:val="0"/>
              <w:autoSpaceDE w:val="0"/>
              <w:autoSpaceDN w:val="0"/>
              <w:bidi w:val="0"/>
              <w:adjustRightInd w:val="0"/>
              <w:snapToGrid w:val="0"/>
              <w:spacing w:line="320" w:lineRule="exact"/>
              <w:textAlignment w:val="baseline"/>
              <w:rPr>
                <w:rFonts w:hint="default" w:ascii="Times New Roman" w:hAnsi="Times New Roman" w:eastAsia="楷体" w:cs="Times New Roman"/>
                <w:sz w:val="24"/>
              </w:rPr>
            </w:pPr>
          </w:p>
          <w:p w14:paraId="64FC6DFB">
            <w:pPr>
              <w:keepNext w:val="0"/>
              <w:keepLines w:val="0"/>
              <w:pageBreakBefore w:val="0"/>
              <w:widowControl w:val="0"/>
              <w:kinsoku/>
              <w:wordWrap/>
              <w:overflowPunct/>
              <w:topLinePunct w:val="0"/>
              <w:autoSpaceDE w:val="0"/>
              <w:autoSpaceDN w:val="0"/>
              <w:bidi w:val="0"/>
              <w:adjustRightInd w:val="0"/>
              <w:snapToGrid w:val="0"/>
              <w:spacing w:line="320" w:lineRule="exact"/>
              <w:ind w:firstLine="2160" w:firstLineChars="900"/>
              <w:textAlignment w:val="baseline"/>
              <w:rPr>
                <w:rFonts w:hint="default" w:ascii="Times New Roman" w:hAnsi="Times New Roman" w:eastAsia="楷体" w:cs="Times New Roman"/>
                <w:sz w:val="24"/>
              </w:rPr>
            </w:pPr>
          </w:p>
          <w:p w14:paraId="5625C742">
            <w:pPr>
              <w:keepNext w:val="0"/>
              <w:keepLines w:val="0"/>
              <w:pageBreakBefore w:val="0"/>
              <w:widowControl w:val="0"/>
              <w:kinsoku/>
              <w:wordWrap/>
              <w:overflowPunct/>
              <w:topLinePunct w:val="0"/>
              <w:autoSpaceDE w:val="0"/>
              <w:autoSpaceDN w:val="0"/>
              <w:bidi w:val="0"/>
              <w:adjustRightInd w:val="0"/>
              <w:snapToGrid w:val="0"/>
              <w:spacing w:line="320" w:lineRule="exact"/>
              <w:ind w:firstLine="2160" w:firstLineChars="900"/>
              <w:textAlignment w:val="baseline"/>
              <w:rPr>
                <w:rFonts w:hint="default" w:ascii="Times New Roman" w:hAnsi="Times New Roman" w:eastAsia="楷体" w:cs="Times New Roman"/>
                <w:sz w:val="24"/>
              </w:rPr>
            </w:pPr>
            <w:bookmarkStart w:id="0" w:name="_GoBack"/>
            <w:bookmarkEnd w:id="0"/>
            <w:r>
              <w:rPr>
                <w:rFonts w:hint="default" w:ascii="Times New Roman" w:hAnsi="Times New Roman" w:eastAsia="楷体" w:cs="Times New Roman"/>
                <w:sz w:val="24"/>
              </w:rPr>
              <w:t>消防安全责任人（签字）：</w:t>
            </w:r>
          </w:p>
          <w:p w14:paraId="5FE2C480">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 xml:space="preserve">                            单位（公章）：</w:t>
            </w:r>
          </w:p>
          <w:p w14:paraId="5C4E3618">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ind w:right="48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 xml:space="preserve">                                           年    月    日</w:t>
            </w:r>
          </w:p>
        </w:tc>
      </w:tr>
      <w:tr w14:paraId="3CBE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3043" w:type="dxa"/>
            <w:gridSpan w:val="3"/>
            <w:tcBorders>
              <w:left w:val="single" w:color="auto" w:sz="12" w:space="0"/>
            </w:tcBorders>
            <w:noWrap w:val="0"/>
            <w:vAlign w:val="center"/>
          </w:tcPr>
          <w:p w14:paraId="58E3A7B9">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楷体" w:cs="Times New Roman"/>
                <w:sz w:val="24"/>
              </w:rPr>
            </w:pPr>
            <w:r>
              <w:rPr>
                <w:rFonts w:hint="default" w:ascii="Times New Roman" w:hAnsi="Times New Roman" w:eastAsia="楷体" w:cs="Times New Roman"/>
                <w:sz w:val="24"/>
                <w:lang w:eastAsia="zh-CN"/>
              </w:rPr>
              <w:t>消防救援机构</w:t>
            </w:r>
            <w:r>
              <w:rPr>
                <w:rFonts w:hint="default" w:ascii="Times New Roman" w:hAnsi="Times New Roman" w:eastAsia="楷体" w:cs="Times New Roman"/>
                <w:sz w:val="24"/>
              </w:rPr>
              <w:t>备案意见</w:t>
            </w:r>
          </w:p>
        </w:tc>
        <w:tc>
          <w:tcPr>
            <w:tcW w:w="7388" w:type="dxa"/>
            <w:gridSpan w:val="5"/>
            <w:tcBorders>
              <w:right w:val="single" w:color="auto" w:sz="12" w:space="0"/>
            </w:tcBorders>
            <w:noWrap w:val="0"/>
            <w:vAlign w:val="top"/>
          </w:tcPr>
          <w:p w14:paraId="5CCFBB1F">
            <w:pPr>
              <w:keepNext w:val="0"/>
              <w:keepLines w:val="0"/>
              <w:pageBreakBefore w:val="0"/>
              <w:widowControl w:val="0"/>
              <w:kinsoku/>
              <w:wordWrap/>
              <w:overflowPunct/>
              <w:topLinePunct w:val="0"/>
              <w:autoSpaceDE w:val="0"/>
              <w:autoSpaceDN w:val="0"/>
              <w:bidi w:val="0"/>
              <w:adjustRightInd w:val="0"/>
              <w:snapToGrid w:val="0"/>
              <w:spacing w:before="156" w:beforeLines="50" w:line="320" w:lineRule="exact"/>
              <w:ind w:firstLine="480" w:firstLineChars="200"/>
              <w:textAlignment w:val="baseline"/>
              <w:rPr>
                <w:rFonts w:hint="default" w:ascii="Times New Roman" w:hAnsi="Times New Roman" w:eastAsia="楷体" w:cs="Times New Roman"/>
                <w:sz w:val="24"/>
                <w:lang w:val="en-US" w:eastAsia="zh-CN"/>
              </w:rPr>
            </w:pPr>
          </w:p>
          <w:p w14:paraId="0916150E">
            <w:pPr>
              <w:keepNext w:val="0"/>
              <w:keepLines w:val="0"/>
              <w:pageBreakBefore w:val="0"/>
              <w:widowControl w:val="0"/>
              <w:kinsoku/>
              <w:wordWrap/>
              <w:overflowPunct/>
              <w:topLinePunct w:val="0"/>
              <w:autoSpaceDE w:val="0"/>
              <w:autoSpaceDN w:val="0"/>
              <w:bidi w:val="0"/>
              <w:adjustRightInd w:val="0"/>
              <w:snapToGrid w:val="0"/>
              <w:spacing w:before="156" w:beforeLines="50" w:line="320" w:lineRule="exact"/>
              <w:ind w:firstLine="480" w:firstLineChars="200"/>
              <w:textAlignment w:val="baseline"/>
              <w:rPr>
                <w:rFonts w:hint="default" w:ascii="Times New Roman" w:hAnsi="Times New Roman" w:eastAsia="楷体" w:cs="Times New Roman"/>
                <w:color w:val="FF0000"/>
                <w:sz w:val="24"/>
                <w:lang w:val="en-US" w:eastAsia="zh-CN"/>
              </w:rPr>
            </w:pPr>
            <w:r>
              <w:rPr>
                <w:rFonts w:hint="default" w:ascii="Times New Roman" w:hAnsi="Times New Roman" w:eastAsia="楷体" w:cs="Times New Roman"/>
                <w:sz w:val="24"/>
                <w:lang w:val="en-US" w:eastAsia="zh-CN"/>
              </w:rPr>
              <w:t>该</w:t>
            </w:r>
            <w:r>
              <w:rPr>
                <w:rFonts w:hint="default" w:ascii="Times New Roman" w:hAnsi="Times New Roman" w:eastAsia="楷体" w:cs="Times New Roman"/>
                <w:sz w:val="24"/>
              </w:rPr>
              <w:t>单位符合《</w:t>
            </w:r>
            <w:r>
              <w:rPr>
                <w:rFonts w:hint="eastAsia" w:ascii="Times New Roman" w:hAnsi="Times New Roman" w:eastAsia="楷体" w:cs="Times New Roman"/>
                <w:sz w:val="24"/>
                <w:lang w:val="en-US" w:eastAsia="zh-CN"/>
              </w:rPr>
              <w:t>陕西</w:t>
            </w:r>
            <w:r>
              <w:rPr>
                <w:rFonts w:hint="default" w:ascii="Times New Roman" w:hAnsi="Times New Roman" w:eastAsia="楷体" w:cs="Times New Roman"/>
                <w:sz w:val="24"/>
              </w:rPr>
              <w:t>省消防安全重点单位界定标准》，同意备案。</w:t>
            </w:r>
            <w:r>
              <w:rPr>
                <w:rFonts w:hint="default" w:ascii="Times New Roman" w:hAnsi="Times New Roman" w:eastAsia="楷体" w:cs="Times New Roman"/>
                <w:color w:val="FF0000"/>
                <w:sz w:val="24"/>
                <w:lang w:val="en-US" w:eastAsia="zh-CN"/>
              </w:rPr>
              <w:t xml:space="preserve"> </w:t>
            </w:r>
          </w:p>
          <w:p w14:paraId="3B444E61">
            <w:pPr>
              <w:keepNext w:val="0"/>
              <w:keepLines w:val="0"/>
              <w:pageBreakBefore w:val="0"/>
              <w:widowControl w:val="0"/>
              <w:kinsoku/>
              <w:wordWrap/>
              <w:overflowPunct/>
              <w:topLinePunct w:val="0"/>
              <w:autoSpaceDE w:val="0"/>
              <w:autoSpaceDN w:val="0"/>
              <w:bidi w:val="0"/>
              <w:adjustRightInd w:val="0"/>
              <w:snapToGrid w:val="0"/>
              <w:spacing w:before="156" w:beforeLines="50" w:line="320" w:lineRule="exact"/>
              <w:ind w:firstLine="480" w:firstLineChars="200"/>
              <w:textAlignment w:val="baseline"/>
              <w:rPr>
                <w:rFonts w:hint="default" w:ascii="Times New Roman" w:hAnsi="Times New Roman" w:eastAsia="楷体" w:cs="Times New Roman"/>
                <w:color w:val="FF0000"/>
                <w:sz w:val="24"/>
                <w:lang w:val="en-US" w:eastAsia="zh-CN"/>
              </w:rPr>
            </w:pPr>
          </w:p>
          <w:p w14:paraId="1C5B5F65">
            <w:pPr>
              <w:keepNext w:val="0"/>
              <w:keepLines w:val="0"/>
              <w:pageBreakBefore w:val="0"/>
              <w:widowControl w:val="0"/>
              <w:kinsoku/>
              <w:wordWrap/>
              <w:overflowPunct/>
              <w:topLinePunct w:val="0"/>
              <w:autoSpaceDE w:val="0"/>
              <w:autoSpaceDN w:val="0"/>
              <w:bidi w:val="0"/>
              <w:adjustRightInd w:val="0"/>
              <w:snapToGrid w:val="0"/>
              <w:spacing w:line="320" w:lineRule="exact"/>
              <w:textAlignment w:val="baseline"/>
              <w:rPr>
                <w:rFonts w:hint="default" w:ascii="Times New Roman" w:hAnsi="Times New Roman" w:eastAsia="楷体" w:cs="Times New Roman"/>
                <w:sz w:val="24"/>
              </w:rPr>
            </w:pPr>
          </w:p>
          <w:p w14:paraId="589124A9">
            <w:pPr>
              <w:keepNext w:val="0"/>
              <w:keepLines w:val="0"/>
              <w:pageBreakBefore w:val="0"/>
              <w:widowControl w:val="0"/>
              <w:kinsoku/>
              <w:wordWrap/>
              <w:overflowPunct/>
              <w:topLinePunct w:val="0"/>
              <w:autoSpaceDE w:val="0"/>
              <w:autoSpaceDN w:val="0"/>
              <w:bidi w:val="0"/>
              <w:adjustRightInd w:val="0"/>
              <w:snapToGrid w:val="0"/>
              <w:spacing w:line="320" w:lineRule="exact"/>
              <w:ind w:firstLine="3960" w:firstLineChars="1650"/>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w:t>
            </w:r>
            <w:r>
              <w:rPr>
                <w:rFonts w:hint="default" w:ascii="Times New Roman" w:hAnsi="Times New Roman" w:eastAsia="楷体" w:cs="Times New Roman"/>
                <w:sz w:val="24"/>
                <w:lang w:val="en-US" w:eastAsia="zh-CN"/>
              </w:rPr>
              <w:t>消防救援</w:t>
            </w:r>
            <w:r>
              <w:rPr>
                <w:rFonts w:hint="eastAsia" w:ascii="Times New Roman" w:hAnsi="Times New Roman" w:eastAsia="楷体" w:cs="Times New Roman"/>
                <w:sz w:val="24"/>
                <w:lang w:val="en-US" w:eastAsia="zh-CN"/>
              </w:rPr>
              <w:t>部门</w:t>
            </w:r>
            <w:r>
              <w:rPr>
                <w:rFonts w:hint="default" w:ascii="Times New Roman" w:hAnsi="Times New Roman" w:eastAsia="楷体" w:cs="Times New Roman"/>
                <w:sz w:val="24"/>
              </w:rPr>
              <w:t>印章）</w:t>
            </w:r>
          </w:p>
          <w:p w14:paraId="3AD63840">
            <w:pPr>
              <w:keepNext w:val="0"/>
              <w:keepLines w:val="0"/>
              <w:pageBreakBefore w:val="0"/>
              <w:widowControl w:val="0"/>
              <w:kinsoku/>
              <w:wordWrap/>
              <w:overflowPunct/>
              <w:topLinePunct w:val="0"/>
              <w:autoSpaceDE w:val="0"/>
              <w:autoSpaceDN w:val="0"/>
              <w:bidi w:val="0"/>
              <w:adjustRightInd w:val="0"/>
              <w:snapToGrid w:val="0"/>
              <w:spacing w:line="320" w:lineRule="exact"/>
              <w:ind w:firstLine="960" w:firstLineChars="400"/>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 xml:space="preserve">                            年    月    日</w:t>
            </w:r>
          </w:p>
          <w:p w14:paraId="585355C3">
            <w:pPr>
              <w:keepNext w:val="0"/>
              <w:keepLines w:val="0"/>
              <w:pageBreakBefore w:val="0"/>
              <w:widowControl w:val="0"/>
              <w:kinsoku/>
              <w:wordWrap/>
              <w:overflowPunct/>
              <w:topLinePunct w:val="0"/>
              <w:autoSpaceDE w:val="0"/>
              <w:autoSpaceDN w:val="0"/>
              <w:bidi w:val="0"/>
              <w:adjustRightInd w:val="0"/>
              <w:snapToGrid w:val="0"/>
              <w:spacing w:before="312" w:beforeLines="100" w:line="320" w:lineRule="exact"/>
              <w:ind w:firstLine="960" w:firstLineChars="400"/>
              <w:textAlignment w:val="baseline"/>
              <w:rPr>
                <w:rFonts w:hint="default" w:ascii="Times New Roman" w:hAnsi="Times New Roman" w:eastAsia="楷体" w:cs="Times New Roman"/>
                <w:sz w:val="24"/>
              </w:rPr>
            </w:pPr>
          </w:p>
        </w:tc>
      </w:tr>
      <w:tr w14:paraId="6D5B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0431" w:type="dxa"/>
            <w:gridSpan w:val="8"/>
            <w:tcBorders>
              <w:left w:val="single" w:color="auto" w:sz="12" w:space="0"/>
              <w:bottom w:val="single" w:color="auto" w:sz="12" w:space="0"/>
              <w:right w:val="single" w:color="auto" w:sz="12" w:space="0"/>
            </w:tcBorders>
            <w:noWrap w:val="0"/>
            <w:vAlign w:val="center"/>
          </w:tcPr>
          <w:p w14:paraId="17F85F86">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填表说明：</w:t>
            </w:r>
          </w:p>
          <w:p w14:paraId="15F37D66">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1、消防安全责任人一栏，法人单位填写法定代表人，非法人单位填写主要负责人；</w:t>
            </w:r>
          </w:p>
          <w:p w14:paraId="7C5F71F4">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2、消防安全管理人，可以由单位副职担任，也可单独设置或者聘任，直接对单位的消防安全责任人负责；</w:t>
            </w:r>
          </w:p>
          <w:p w14:paraId="2F48F0EB">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rPr>
            </w:pPr>
            <w:r>
              <w:rPr>
                <w:rFonts w:hint="default" w:ascii="Times New Roman" w:hAnsi="Times New Roman" w:eastAsia="楷体" w:cs="Times New Roman"/>
                <w:sz w:val="24"/>
              </w:rPr>
              <w:t>3、归口管理部门是指单位消防安全管理的组织机构，如保卫处（科）、安全处（科）、办公室等。</w:t>
            </w:r>
          </w:p>
          <w:p w14:paraId="7A387EB6">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4、上级归口管理部门是指上级单位消防安全管理的部门，如无可不填写。</w:t>
            </w:r>
          </w:p>
        </w:tc>
      </w:tr>
    </w:tbl>
    <w:p w14:paraId="71481EC1">
      <w:pPr>
        <w:keepNext w:val="0"/>
        <w:keepLines w:val="0"/>
        <w:pageBreakBefore w:val="0"/>
        <w:widowControl w:val="0"/>
        <w:wordWrap/>
        <w:overflowPunct/>
        <w:topLinePunct w:val="0"/>
        <w:autoSpaceDE w:val="0"/>
        <w:autoSpaceDN w:val="0"/>
        <w:bidi w:val="0"/>
        <w:adjustRightInd w:val="0"/>
        <w:snapToGrid w:val="0"/>
        <w:jc w:val="center"/>
        <w:textAlignment w:val="baseline"/>
        <w:rPr>
          <w:rFonts w:hint="eastAsia" w:ascii="楷体" w:hAnsi="楷体" w:eastAsia="楷体" w:cs="楷体"/>
          <w:bCs/>
          <w:sz w:val="44"/>
          <w:szCs w:val="44"/>
        </w:rPr>
      </w:pPr>
    </w:p>
    <w:p w14:paraId="313A6E81">
      <w:pPr>
        <w:keepNext w:val="0"/>
        <w:keepLines w:val="0"/>
        <w:pageBreakBefore w:val="0"/>
        <w:widowControl w:val="0"/>
        <w:wordWrap/>
        <w:overflowPunct/>
        <w:topLinePunct w:val="0"/>
        <w:autoSpaceDE w:val="0"/>
        <w:autoSpaceDN w:val="0"/>
        <w:bidi w:val="0"/>
        <w:adjustRightInd w:val="0"/>
        <w:snapToGrid w:val="0"/>
        <w:textAlignment w:val="baseline"/>
        <w:rPr>
          <w:rFonts w:hint="default" w:ascii="Times New Roman" w:hAnsi="Times New Roman" w:cs="Times New Roma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Bahnschrift Light SemiCondensed">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89D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0C48A3">
                          <w:pPr>
                            <w:pStyle w:val="3"/>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D0C48A3">
                    <w:pPr>
                      <w:pStyle w:val="3"/>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0743"/>
    <w:rsid w:val="0611020B"/>
    <w:rsid w:val="1DC97D28"/>
    <w:rsid w:val="207C542B"/>
    <w:rsid w:val="212212BA"/>
    <w:rsid w:val="27BD1CA7"/>
    <w:rsid w:val="34032591"/>
    <w:rsid w:val="39510397"/>
    <w:rsid w:val="5CBD3DF2"/>
    <w:rsid w:val="66D34CD0"/>
    <w:rsid w:val="68644630"/>
    <w:rsid w:val="72587E32"/>
    <w:rsid w:val="7B21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snapToGrid w:val="0"/>
      <w:spacing w:line="360" w:lineRule="auto"/>
      <w:ind w:right="600"/>
      <w:textAlignment w:val="baseline"/>
    </w:pPr>
    <w:rPr>
      <w:rFonts w:ascii="仿宋_GB2312" w:hAnsi="Courier New" w:eastAsia="仿宋_GB2312" w:cs="仿宋_GB231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仿宋" w:hAnsi="仿宋" w:eastAsia="仿宋" w:cs="仿宋"/>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2340</Words>
  <Characters>2489</Characters>
  <Lines>0</Lines>
  <Paragraphs>0</Paragraphs>
  <TotalTime>19</TotalTime>
  <ScaleCrop>false</ScaleCrop>
  <LinksUpToDate>false</LinksUpToDate>
  <CharactersWithSpaces>2610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2025-02-05T02:48:00Z</dcterms:created>
  <dc:creator>Administrator</dc:creator>
  <cp:lastModifiedBy>穆羽~</cp:lastModifiedBy>
  <cp:lastPrinted>2025-02-10T03:12:00Z</cp:lastPrinted>
  <dcterms:modified xsi:type="dcterms:W3CDTF">2025-02-14T03:05:09Z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eyJoZGlkIjoiNzc0YmRlODA0OWUwMjY5ODM3YjZiNzRhNDExOThhNTgiLCJ1c2VySWQiOiIxMjg3OTA4Njc2In0=</vt:lpwstr>
  </property>
  <property fmtid="{D5CDD505-2E9C-101B-9397-08002B2CF9AE}" pid="4" name="ICV">
    <vt:lpwstr>4998FA46647C472CA4887DDFA2E4B7C2_12</vt:lpwstr>
  </property>
</Properties>
</file>